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51AF6A">
      <w:pPr>
        <w:bidi w:val="0"/>
        <w:jc w:val="both"/>
        <w:rPr>
          <w:rFonts w:hint="eastAsia"/>
          <w:b/>
          <w:bCs/>
          <w:sz w:val="52"/>
          <w:szCs w:val="48"/>
          <w:lang w:val="en-US" w:eastAsia="zh-CN"/>
        </w:rPr>
      </w:pPr>
    </w:p>
    <w:p w14:paraId="69FFB496">
      <w:pPr>
        <w:bidi w:val="0"/>
        <w:jc w:val="center"/>
        <w:rPr>
          <w:rFonts w:hint="eastAsia"/>
          <w:b/>
          <w:bCs/>
          <w:sz w:val="56"/>
          <w:szCs w:val="56"/>
          <w:lang w:val="en-US"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云南特殊教育职业学院</w:t>
      </w:r>
    </w:p>
    <w:p w14:paraId="5A648271">
      <w:pPr>
        <w:bidi w:val="0"/>
        <w:jc w:val="center"/>
        <w:rPr>
          <w:rFonts w:hint="eastAsia"/>
          <w:b/>
          <w:bCs/>
          <w:sz w:val="52"/>
          <w:szCs w:val="52"/>
          <w:lang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病媒生物预防控制服务</w:t>
      </w:r>
      <w:r>
        <w:rPr>
          <w:rFonts w:hint="eastAsia"/>
          <w:b/>
          <w:bCs/>
          <w:sz w:val="52"/>
          <w:szCs w:val="52"/>
          <w:lang w:val="en-US" w:eastAsia="zh-CN"/>
        </w:rPr>
        <w:t>项目实施</w:t>
      </w:r>
      <w:r>
        <w:rPr>
          <w:rFonts w:hint="eastAsia"/>
          <w:b/>
          <w:bCs/>
          <w:sz w:val="52"/>
          <w:szCs w:val="52"/>
          <w:lang w:eastAsia="zh-CN"/>
        </w:rPr>
        <w:t>方案</w:t>
      </w:r>
    </w:p>
    <w:p w14:paraId="588A15D7"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</w:p>
    <w:p w14:paraId="1A302B57"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</w:p>
    <w:p w14:paraId="575B3A42">
      <w:pPr>
        <w:spacing w:line="360" w:lineRule="auto"/>
        <w:rPr>
          <w:rFonts w:hint="eastAsia" w:ascii="宋体" w:hAnsi="宋体" w:cs="宋体"/>
          <w:sz w:val="28"/>
          <w:szCs w:val="28"/>
          <w:lang w:eastAsia="zh-CN"/>
        </w:rPr>
      </w:pPr>
    </w:p>
    <w:p w14:paraId="7CD92AA8">
      <w:pPr>
        <w:spacing w:line="360" w:lineRule="auto"/>
        <w:rPr>
          <w:rFonts w:hint="eastAsia" w:ascii="宋体" w:hAnsi="宋体" w:cs="宋体"/>
          <w:sz w:val="28"/>
          <w:szCs w:val="28"/>
          <w:lang w:eastAsia="zh-CN"/>
        </w:rPr>
      </w:pPr>
    </w:p>
    <w:p w14:paraId="4CAFB214">
      <w:pPr>
        <w:pStyle w:val="28"/>
        <w:rPr>
          <w:rFonts w:hint="eastAsia" w:ascii="宋体" w:hAnsi="宋体" w:cs="宋体"/>
          <w:sz w:val="28"/>
          <w:szCs w:val="28"/>
          <w:lang w:eastAsia="zh-CN"/>
        </w:rPr>
      </w:pPr>
    </w:p>
    <w:p w14:paraId="31E84524">
      <w:pPr>
        <w:pStyle w:val="28"/>
        <w:rPr>
          <w:rFonts w:hint="eastAsia" w:ascii="宋体" w:hAnsi="宋体" w:cs="宋体"/>
          <w:sz w:val="28"/>
          <w:szCs w:val="28"/>
          <w:lang w:eastAsia="zh-CN"/>
        </w:rPr>
      </w:pPr>
    </w:p>
    <w:p w14:paraId="2DD71B3A">
      <w:pPr>
        <w:spacing w:line="360" w:lineRule="auto"/>
        <w:rPr>
          <w:rFonts w:hint="eastAsia" w:ascii="宋体" w:hAnsi="宋体" w:cs="宋体"/>
          <w:sz w:val="28"/>
          <w:szCs w:val="28"/>
          <w:lang w:eastAsia="zh-CN"/>
        </w:rPr>
      </w:pPr>
    </w:p>
    <w:p w14:paraId="49CFB86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br w:type="page"/>
      </w:r>
    </w:p>
    <w:p w14:paraId="3E268B6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  <w:sectPr>
          <w:pgSz w:w="11906" w:h="16838"/>
          <w:pgMar w:top="1417" w:right="1417" w:bottom="1417" w:left="1701" w:header="567" w:footer="425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0" w:num="1"/>
          <w:titlePg/>
          <w:rtlGutter w:val="0"/>
          <w:docGrid w:type="lines" w:linePitch="389" w:charSpace="0"/>
        </w:sectPr>
      </w:pPr>
    </w:p>
    <w:p w14:paraId="608D37A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b/>
          <w:bCs/>
          <w:sz w:val="40"/>
          <w:szCs w:val="36"/>
          <w:lang w:val="en-US" w:eastAsia="zh-CN"/>
        </w:rPr>
      </w:pPr>
      <w:bookmarkStart w:id="0" w:name="_Toc25834"/>
      <w:bookmarkStart w:id="1" w:name="_Toc1515"/>
      <w:r>
        <w:rPr>
          <w:rFonts w:hint="eastAsia"/>
          <w:b/>
          <w:bCs/>
          <w:sz w:val="40"/>
          <w:szCs w:val="36"/>
          <w:lang w:val="en-US" w:eastAsia="zh-CN"/>
        </w:rPr>
        <w:t>报价一览表</w:t>
      </w:r>
      <w:bookmarkEnd w:id="0"/>
    </w:p>
    <w:p w14:paraId="52C4F7B7">
      <w:pPr>
        <w:pStyle w:val="1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</w:p>
    <w:tbl>
      <w:tblPr>
        <w:tblStyle w:val="43"/>
        <w:tblW w:w="8763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73"/>
        <w:gridCol w:w="7290"/>
      </w:tblGrid>
      <w:tr w14:paraId="5A44EE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  <w:jc w:val="center"/>
        </w:trPr>
        <w:tc>
          <w:tcPr>
            <w:tcW w:w="87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530DC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pacing w:val="0"/>
                <w:position w:val="1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position w:val="1"/>
                <w:sz w:val="28"/>
                <w:szCs w:val="28"/>
                <w:lang w:val="en-US" w:eastAsia="zh-CN"/>
              </w:rPr>
              <w:t>预算</w:t>
            </w:r>
            <w:r>
              <w:rPr>
                <w:rFonts w:hint="eastAsia" w:ascii="宋体" w:hAnsi="宋体" w:eastAsia="宋体" w:cs="宋体"/>
                <w:spacing w:val="0"/>
                <w:position w:val="1"/>
                <w:sz w:val="28"/>
                <w:szCs w:val="28"/>
                <w:lang w:eastAsia="zh-CN"/>
              </w:rPr>
              <w:t>总价</w:t>
            </w:r>
            <w:r>
              <w:rPr>
                <w:rFonts w:hint="eastAsia" w:ascii="宋体" w:hAnsi="宋体" w:cs="宋体"/>
                <w:spacing w:val="0"/>
                <w:position w:val="1"/>
                <w:sz w:val="28"/>
                <w:szCs w:val="28"/>
                <w:lang w:val="en-US" w:eastAsia="zh-CN"/>
              </w:rPr>
              <w:t>22000.00</w:t>
            </w:r>
            <w:r>
              <w:rPr>
                <w:rFonts w:hint="eastAsia" w:ascii="宋体" w:hAnsi="宋体" w:eastAsia="宋体" w:cs="宋体"/>
                <w:spacing w:val="0"/>
                <w:position w:val="1"/>
                <w:sz w:val="28"/>
                <w:szCs w:val="28"/>
                <w:lang w:eastAsia="zh-CN"/>
              </w:rPr>
              <w:t>（元）</w:t>
            </w:r>
            <w:r>
              <w:rPr>
                <w:rFonts w:hint="eastAsia" w:ascii="宋体" w:hAnsi="宋体" w:cs="宋体"/>
                <w:spacing w:val="0"/>
                <w:position w:val="1"/>
                <w:sz w:val="28"/>
                <w:szCs w:val="28"/>
                <w:lang w:val="en-US" w:eastAsia="zh-CN"/>
              </w:rPr>
              <w:t>/年</w:t>
            </w:r>
          </w:p>
        </w:tc>
      </w:tr>
      <w:tr w14:paraId="74BFCB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2" w:hRule="atLeast"/>
          <w:jc w:val="center"/>
        </w:trPr>
        <w:tc>
          <w:tcPr>
            <w:tcW w:w="1473" w:type="dxa"/>
            <w:tcBorders>
              <w:top w:val="single" w:color="auto" w:sz="4" w:space="0"/>
            </w:tcBorders>
          </w:tcPr>
          <w:p w14:paraId="205EBFA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" w:line="360" w:lineRule="auto"/>
              <w:jc w:val="center"/>
              <w:textAlignment w:val="auto"/>
              <w:rPr>
                <w:rFonts w:hint="eastAsia" w:ascii="宋体" w:hAnsi="宋体" w:eastAsia="宋体" w:cs="宋体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8"/>
                <w:szCs w:val="28"/>
                <w:lang w:val="en-US" w:eastAsia="zh-CN"/>
              </w:rPr>
              <w:t>防制区域</w:t>
            </w:r>
          </w:p>
        </w:tc>
        <w:tc>
          <w:tcPr>
            <w:tcW w:w="7290" w:type="dxa"/>
            <w:tcBorders>
              <w:top w:val="single" w:color="auto" w:sz="4" w:space="0"/>
            </w:tcBorders>
          </w:tcPr>
          <w:p w14:paraId="6CFCB15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" w:line="360" w:lineRule="auto"/>
              <w:jc w:val="center"/>
              <w:textAlignment w:val="auto"/>
              <w:rPr>
                <w:rFonts w:hint="eastAsia" w:ascii="宋体" w:hAnsi="宋体" w:eastAsia="宋体" w:cs="宋体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8"/>
                <w:szCs w:val="28"/>
                <w:lang w:val="en-US" w:eastAsia="zh-CN"/>
              </w:rPr>
              <w:t>学校区域内</w:t>
            </w:r>
          </w:p>
        </w:tc>
      </w:tr>
      <w:tr w14:paraId="408E66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  <w:jc w:val="center"/>
        </w:trPr>
        <w:tc>
          <w:tcPr>
            <w:tcW w:w="1473" w:type="dxa"/>
          </w:tcPr>
          <w:p w14:paraId="37631BF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" w:line="360" w:lineRule="auto"/>
              <w:jc w:val="center"/>
              <w:textAlignment w:val="auto"/>
              <w:rPr>
                <w:rFonts w:hint="eastAsia" w:ascii="宋体" w:hAnsi="宋体" w:eastAsia="宋体" w:cs="宋体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8"/>
                <w:szCs w:val="28"/>
                <w:lang w:val="en-US" w:eastAsia="zh-CN"/>
              </w:rPr>
              <w:t>服务频率</w:t>
            </w:r>
          </w:p>
        </w:tc>
        <w:tc>
          <w:tcPr>
            <w:tcW w:w="7290" w:type="dxa"/>
          </w:tcPr>
          <w:p w14:paraId="6EC493D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" w:line="36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11月—3月，每月1次，4月—10月，每月两次，全年不低于19次。（可根据学校安排，对寒暑假服务次数进行调整，如寒假暂停服务，服务次数可挪至其他月份。）</w:t>
            </w:r>
          </w:p>
        </w:tc>
      </w:tr>
      <w:tr w14:paraId="40AC1F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  <w:jc w:val="center"/>
        </w:trPr>
        <w:tc>
          <w:tcPr>
            <w:tcW w:w="1473" w:type="dxa"/>
          </w:tcPr>
          <w:p w14:paraId="47C8BEA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" w:line="360" w:lineRule="auto"/>
              <w:jc w:val="center"/>
              <w:textAlignment w:val="auto"/>
              <w:rPr>
                <w:rFonts w:hint="eastAsia" w:ascii="宋体" w:hAnsi="宋体" w:eastAsia="宋体" w:cs="宋体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8"/>
                <w:szCs w:val="28"/>
                <w:lang w:val="en-US" w:eastAsia="zh-CN"/>
              </w:rPr>
              <w:t>靶标害虫</w:t>
            </w:r>
          </w:p>
        </w:tc>
        <w:tc>
          <w:tcPr>
            <w:tcW w:w="7290" w:type="dxa"/>
          </w:tcPr>
          <w:p w14:paraId="051D475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" w:line="360" w:lineRule="auto"/>
              <w:jc w:val="center"/>
              <w:textAlignment w:val="auto"/>
              <w:rPr>
                <w:rFonts w:hint="default" w:ascii="宋体" w:hAnsi="宋体" w:eastAsia="宋体" w:cs="宋体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8"/>
                <w:szCs w:val="28"/>
                <w:lang w:val="en-US" w:eastAsia="zh-CN"/>
              </w:rPr>
              <w:t>老鼠、蟑螂、蚊子、苍蝇</w:t>
            </w:r>
            <w:r>
              <w:rPr>
                <w:rFonts w:hint="eastAsia" w:ascii="宋体" w:hAnsi="宋体" w:cs="宋体"/>
                <w:spacing w:val="0"/>
                <w:sz w:val="28"/>
                <w:szCs w:val="28"/>
                <w:lang w:val="en-US" w:eastAsia="zh-CN"/>
              </w:rPr>
              <w:t>、蚂蚁、蛇等有害生物</w:t>
            </w:r>
            <w:r>
              <w:rPr>
                <w:rFonts w:hint="eastAsia" w:ascii="宋体" w:hAnsi="宋体" w:cs="宋体"/>
                <w:spacing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宋体" w:hAnsi="宋体" w:cs="宋体"/>
                <w:spacing w:val="0"/>
                <w:sz w:val="28"/>
                <w:szCs w:val="28"/>
                <w:lang w:val="en-US" w:eastAsia="zh-CN"/>
              </w:rPr>
              <w:t>(备注：供应商日常提供防蛇驱蛇防治服务，如有蛇入侵，采购人可拨打119求助捕蛇)</w:t>
            </w:r>
          </w:p>
        </w:tc>
      </w:tr>
      <w:tr w14:paraId="2D93D4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9" w:hRule="atLeast"/>
          <w:jc w:val="center"/>
        </w:trPr>
        <w:tc>
          <w:tcPr>
            <w:tcW w:w="1473" w:type="dxa"/>
          </w:tcPr>
          <w:p w14:paraId="2C76B78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118"/>
              <w:textAlignment w:val="auto"/>
              <w:rPr>
                <w:rFonts w:hint="eastAsia" w:ascii="宋体" w:hAnsi="宋体" w:eastAsia="宋体" w:cs="宋体"/>
                <w:spacing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0"/>
                <w:position w:val="16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服务效果</w:t>
            </w:r>
          </w:p>
        </w:tc>
        <w:tc>
          <w:tcPr>
            <w:tcW w:w="7290" w:type="dxa"/>
          </w:tcPr>
          <w:p w14:paraId="0C97125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4" w:line="360" w:lineRule="auto"/>
              <w:textAlignment w:val="auto"/>
              <w:rPr>
                <w:rFonts w:hint="default" w:ascii="宋体" w:hAnsi="宋体" w:eastAsia="宋体" w:cs="宋体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8"/>
                <w:szCs w:val="28"/>
                <w:lang w:eastAsia="zh-CN"/>
              </w:rPr>
              <w:t>老鼠、蟑螂密度控制水平达到国标</w:t>
            </w:r>
            <w:r>
              <w:rPr>
                <w:rFonts w:hint="eastAsia" w:ascii="宋体" w:hAnsi="宋体" w:eastAsia="宋体" w:cs="宋体"/>
                <w:spacing w:val="0"/>
                <w:sz w:val="28"/>
                <w:szCs w:val="28"/>
                <w:lang w:val="en-US" w:eastAsia="zh-CN"/>
              </w:rPr>
              <w:t>C级标准，蚊子、苍蝇密度得到有效控制</w:t>
            </w:r>
            <w:r>
              <w:rPr>
                <w:rFonts w:hint="eastAsia" w:ascii="宋体" w:hAnsi="宋体" w:cs="宋体"/>
                <w:spacing w:val="0"/>
                <w:sz w:val="28"/>
                <w:szCs w:val="28"/>
                <w:lang w:val="en-US" w:eastAsia="zh-CN"/>
              </w:rPr>
              <w:t>，消杀标准符合国家相关技术标准</w:t>
            </w:r>
            <w:r>
              <w:rPr>
                <w:rFonts w:hint="eastAsia" w:ascii="宋体" w:hAnsi="宋体" w:eastAsia="宋体" w:cs="宋体"/>
                <w:spacing w:val="0"/>
                <w:sz w:val="28"/>
                <w:szCs w:val="28"/>
                <w:lang w:val="en-US" w:eastAsia="zh-CN"/>
              </w:rPr>
              <w:t>。</w:t>
            </w:r>
          </w:p>
        </w:tc>
      </w:tr>
      <w:tr w14:paraId="255A76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9" w:hRule="atLeast"/>
          <w:jc w:val="center"/>
        </w:trPr>
        <w:tc>
          <w:tcPr>
            <w:tcW w:w="1473" w:type="dxa"/>
            <w:shd w:val="clear" w:color="auto" w:fill="auto"/>
            <w:vAlign w:val="top"/>
          </w:tcPr>
          <w:p w14:paraId="0368384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" w:line="360" w:lineRule="auto"/>
              <w:jc w:val="center"/>
              <w:textAlignment w:val="auto"/>
              <w:rPr>
                <w:rFonts w:hint="eastAsia" w:ascii="宋体" w:hAnsi="宋体" w:eastAsia="宋体" w:cs="宋体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0"/>
                <w:sz w:val="28"/>
                <w:szCs w:val="28"/>
                <w:lang w:val="en-US" w:eastAsia="zh-CN"/>
              </w:rPr>
              <w:t>服务期限</w:t>
            </w:r>
          </w:p>
        </w:tc>
        <w:tc>
          <w:tcPr>
            <w:tcW w:w="7290" w:type="dxa"/>
            <w:shd w:val="clear" w:color="auto" w:fill="auto"/>
            <w:vAlign w:val="top"/>
          </w:tcPr>
          <w:p w14:paraId="231648F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" w:line="360" w:lineRule="auto"/>
              <w:jc w:val="center"/>
              <w:textAlignment w:val="auto"/>
              <w:rPr>
                <w:rFonts w:hint="eastAsia" w:ascii="宋体" w:hAnsi="宋体" w:cs="宋体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pacing w:val="0"/>
                <w:sz w:val="28"/>
                <w:szCs w:val="28"/>
                <w:lang w:val="en-US" w:eastAsia="zh-CN"/>
              </w:rPr>
              <w:t xml:space="preserve"> 3</w:t>
            </w:r>
            <w:r>
              <w:rPr>
                <w:rFonts w:hint="eastAsia" w:ascii="宋体" w:hAnsi="宋体" w:eastAsia="宋体" w:cs="宋体"/>
                <w:spacing w:val="0"/>
                <w:sz w:val="28"/>
                <w:szCs w:val="28"/>
                <w:lang w:val="en-US" w:eastAsia="zh-CN"/>
              </w:rPr>
              <w:t>年</w:t>
            </w:r>
            <w:r>
              <w:rPr>
                <w:rFonts w:hint="eastAsia" w:ascii="宋体" w:hAnsi="宋体" w:cs="宋体"/>
                <w:spacing w:val="0"/>
                <w:sz w:val="28"/>
                <w:szCs w:val="28"/>
                <w:lang w:val="en-US" w:eastAsia="zh-CN"/>
              </w:rPr>
              <w:t>，合同一年一签。</w:t>
            </w:r>
          </w:p>
          <w:p w14:paraId="2BD2404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" w:line="360" w:lineRule="auto"/>
              <w:jc w:val="center"/>
              <w:textAlignment w:val="auto"/>
              <w:rPr>
                <w:rFonts w:hint="eastAsia" w:ascii="宋体" w:hAnsi="宋体" w:eastAsia="宋体" w:cs="宋体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0"/>
                <w:sz w:val="28"/>
                <w:szCs w:val="28"/>
                <w:lang w:val="en-US" w:eastAsia="zh-CN"/>
              </w:rPr>
              <w:t>（服务次数完成，问卷调查满意度及服务情况验收合格，续签下一年度合同）</w:t>
            </w:r>
          </w:p>
        </w:tc>
      </w:tr>
      <w:tr w14:paraId="0955A9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9" w:hRule="atLeast"/>
          <w:jc w:val="center"/>
        </w:trPr>
        <w:tc>
          <w:tcPr>
            <w:tcW w:w="1473" w:type="dxa"/>
            <w:shd w:val="clear" w:color="auto" w:fill="auto"/>
            <w:vAlign w:val="top"/>
          </w:tcPr>
          <w:p w14:paraId="7EE181E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" w:line="360" w:lineRule="auto"/>
              <w:jc w:val="center"/>
              <w:textAlignment w:val="auto"/>
              <w:rPr>
                <w:rFonts w:hint="default" w:ascii="宋体" w:hAnsi="宋体" w:eastAsia="宋体" w:cs="宋体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pacing w:val="0"/>
                <w:sz w:val="28"/>
                <w:szCs w:val="28"/>
                <w:lang w:val="en-US" w:eastAsia="zh-CN"/>
              </w:rPr>
              <w:t>服务费用支付</w:t>
            </w:r>
          </w:p>
        </w:tc>
        <w:tc>
          <w:tcPr>
            <w:tcW w:w="7290" w:type="dxa"/>
            <w:shd w:val="clear" w:color="auto" w:fill="auto"/>
            <w:vAlign w:val="top"/>
          </w:tcPr>
          <w:p w14:paraId="0028061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" w:line="360" w:lineRule="auto"/>
              <w:jc w:val="center"/>
              <w:textAlignment w:val="auto"/>
              <w:rPr>
                <w:rFonts w:hint="default" w:ascii="宋体" w:hAnsi="宋体" w:cs="宋体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pacing w:val="0"/>
                <w:sz w:val="28"/>
                <w:szCs w:val="28"/>
                <w:lang w:val="en-US" w:eastAsia="zh-CN"/>
              </w:rPr>
              <w:t>签订合同后支付服务合同费用30%服务费，合同结束后支付70%服务费</w:t>
            </w:r>
          </w:p>
        </w:tc>
      </w:tr>
    </w:tbl>
    <w:p w14:paraId="7B4DF58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bookmarkEnd w:id="1"/>
    <w:p w14:paraId="73801B2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lang w:eastAsia="zh-CN"/>
        </w:rPr>
        <w:sectPr>
          <w:footerReference r:id="rId4" w:type="first"/>
          <w:footerReference r:id="rId3" w:type="default"/>
          <w:pgSz w:w="11906" w:h="16838"/>
          <w:pgMar w:top="1417" w:right="1417" w:bottom="1417" w:left="1701" w:header="567" w:footer="425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titlePg/>
          <w:rtlGutter w:val="0"/>
          <w:docGrid w:type="lines" w:linePitch="389" w:charSpace="0"/>
        </w:sectPr>
      </w:pPr>
      <w:bookmarkStart w:id="2" w:name="_Toc3850"/>
      <w:bookmarkStart w:id="3" w:name="_Toc29330"/>
      <w:bookmarkStart w:id="4" w:name="_Toc29045"/>
      <w:bookmarkStart w:id="5" w:name="_Toc13135"/>
      <w:bookmarkStart w:id="6" w:name="_Toc25640"/>
      <w:bookmarkStart w:id="7" w:name="_Toc26948"/>
      <w:bookmarkStart w:id="8" w:name="_Toc3109"/>
      <w:bookmarkStart w:id="9" w:name="_Toc16170"/>
    </w:p>
    <w:p w14:paraId="08EF8B9E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eastAsia="宋体"/>
          <w:lang w:eastAsia="zh-CN"/>
        </w:rPr>
      </w:pPr>
      <w:bookmarkStart w:id="10" w:name="_Toc10035"/>
      <w:bookmarkStart w:id="11" w:name="_Toc20282"/>
      <w:r>
        <w:rPr>
          <w:rFonts w:hint="eastAsia"/>
          <w:lang w:eastAsia="zh-CN"/>
        </w:rPr>
        <w:t>第一章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服务方案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r>
        <w:rPr>
          <w:rFonts w:hint="eastAsia"/>
          <w:lang w:eastAsia="zh-CN"/>
        </w:rPr>
        <w:t>实施标准</w:t>
      </w:r>
      <w:bookmarkEnd w:id="11"/>
    </w:p>
    <w:p w14:paraId="3AD480E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-977" w:rightChars="-349"/>
        <w:textAlignment w:val="auto"/>
        <w:rPr>
          <w:rFonts w:hint="eastAsia" w:ascii="宋体" w:hAnsi="宋体" w:eastAsia="宋体" w:cs="宋体"/>
          <w:kern w:val="0"/>
          <w:sz w:val="28"/>
          <w:szCs w:val="28"/>
        </w:rPr>
      </w:pPr>
      <w:bookmarkStart w:id="12" w:name="_Toc5756"/>
      <w:bookmarkStart w:id="13" w:name="_Toc24194"/>
      <w:bookmarkStart w:id="14" w:name="_Toc15736"/>
      <w:r>
        <w:rPr>
          <w:rFonts w:hint="eastAsia" w:ascii="宋体" w:hAnsi="宋体" w:eastAsia="宋体" w:cs="宋体"/>
          <w:color w:val="FF0000"/>
          <w:kern w:val="0"/>
          <w:sz w:val="28"/>
          <w:szCs w:val="28"/>
        </w:rPr>
        <w:t>★</w:t>
      </w:r>
      <w:r>
        <w:rPr>
          <w:rFonts w:hint="eastAsia" w:ascii="宋体" w:hAnsi="宋体" w:eastAsia="宋体" w:cs="宋体"/>
          <w:kern w:val="0"/>
          <w:sz w:val="28"/>
          <w:szCs w:val="28"/>
        </w:rPr>
        <w:t>中华人民共和国国家标准 《病媒生物综合管理技术规范》（GB/T27775-2011）</w:t>
      </w:r>
    </w:p>
    <w:p w14:paraId="3B4DF9D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-977" w:rightChars="-349"/>
        <w:textAlignment w:val="auto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FF0000"/>
          <w:kern w:val="0"/>
          <w:sz w:val="28"/>
          <w:szCs w:val="28"/>
        </w:rPr>
        <w:t>★</w:t>
      </w:r>
      <w:r>
        <w:rPr>
          <w:rFonts w:hint="eastAsia" w:ascii="宋体" w:hAnsi="宋体" w:eastAsia="宋体" w:cs="宋体"/>
          <w:kern w:val="0"/>
          <w:sz w:val="28"/>
          <w:szCs w:val="28"/>
        </w:rPr>
        <w:t>中华人民共和国国家标准 《病媒生物综合管理技术规范》（GB/T27776-2011）</w:t>
      </w:r>
    </w:p>
    <w:p w14:paraId="35ACF92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-977" w:rightChars="-349"/>
        <w:textAlignment w:val="auto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FF0000"/>
          <w:kern w:val="0"/>
          <w:sz w:val="28"/>
          <w:szCs w:val="28"/>
        </w:rPr>
        <w:t>★</w:t>
      </w:r>
      <w:r>
        <w:rPr>
          <w:rFonts w:hint="eastAsia" w:ascii="宋体" w:hAnsi="宋体" w:eastAsia="宋体" w:cs="宋体"/>
          <w:kern w:val="0"/>
          <w:sz w:val="28"/>
          <w:szCs w:val="28"/>
        </w:rPr>
        <w:t>中华人民共和国国家标准 《病媒生物密度控制水平 鼠类》（GB/T27770-2011）</w:t>
      </w:r>
    </w:p>
    <w:p w14:paraId="7484143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-977" w:rightChars="-349"/>
        <w:textAlignment w:val="auto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FF0000"/>
          <w:kern w:val="0"/>
          <w:sz w:val="28"/>
          <w:szCs w:val="28"/>
        </w:rPr>
        <w:t>★</w:t>
      </w:r>
      <w:r>
        <w:rPr>
          <w:rFonts w:hint="eastAsia" w:ascii="宋体" w:hAnsi="宋体" w:eastAsia="宋体" w:cs="宋体"/>
          <w:kern w:val="0"/>
          <w:sz w:val="28"/>
          <w:szCs w:val="28"/>
        </w:rPr>
        <w:t>中华人民共和国国家标准 《病媒生物密度控制水平 蚊虫》（GB/T27771-2011）</w:t>
      </w:r>
    </w:p>
    <w:p w14:paraId="5D0E9CB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-977" w:rightChars="-349"/>
        <w:textAlignment w:val="auto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FF0000"/>
          <w:kern w:val="0"/>
          <w:sz w:val="28"/>
          <w:szCs w:val="28"/>
        </w:rPr>
        <w:t>★</w:t>
      </w:r>
      <w:r>
        <w:rPr>
          <w:rFonts w:hint="eastAsia" w:ascii="宋体" w:hAnsi="宋体" w:eastAsia="宋体" w:cs="宋体"/>
          <w:kern w:val="0"/>
          <w:sz w:val="28"/>
          <w:szCs w:val="28"/>
        </w:rPr>
        <w:t>中华人民共和国国家标准 《病媒生物密度控制水平 蝇类》（GB/T27772-2011）</w:t>
      </w:r>
    </w:p>
    <w:p w14:paraId="0D76B93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-977" w:rightChars="-349"/>
        <w:textAlignment w:val="auto"/>
        <w:rPr>
          <w:rFonts w:hint="eastAsia" w:ascii="宋体" w:hAnsi="宋体" w:eastAsia="宋体" w:cs="宋体"/>
          <w:kern w:val="0"/>
          <w:sz w:val="28"/>
          <w:szCs w:val="28"/>
          <w:lang w:val="en-US"/>
        </w:rPr>
      </w:pPr>
      <w:r>
        <w:rPr>
          <w:rFonts w:hint="eastAsia" w:ascii="宋体" w:hAnsi="宋体" w:eastAsia="宋体" w:cs="宋体"/>
          <w:color w:val="FF0000"/>
          <w:kern w:val="0"/>
          <w:sz w:val="28"/>
          <w:szCs w:val="28"/>
        </w:rPr>
        <w:t>★</w:t>
      </w:r>
      <w:r>
        <w:rPr>
          <w:rFonts w:hint="eastAsia" w:ascii="宋体" w:hAnsi="宋体" w:eastAsia="宋体" w:cs="宋体"/>
          <w:kern w:val="0"/>
          <w:sz w:val="28"/>
          <w:szCs w:val="28"/>
        </w:rPr>
        <w:t>中华人民共和国国家标准 《病媒生物密度控制水平 蜚蠊》（GB/T27773-2011）</w:t>
      </w:r>
    </w:p>
    <w:p w14:paraId="37B6507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-977" w:rightChars="-349"/>
        <w:textAlignment w:val="auto"/>
        <w:rPr>
          <w:rFonts w:hint="eastAsia" w:ascii="宋体" w:hAnsi="宋体" w:eastAsia="宋体" w:cs="宋体"/>
          <w:kern w:val="0"/>
          <w:sz w:val="28"/>
          <w:szCs w:val="28"/>
          <w:lang w:val="en-US"/>
        </w:rPr>
      </w:pPr>
      <w:r>
        <w:rPr>
          <w:rFonts w:hint="eastAsia" w:ascii="宋体" w:hAnsi="宋体" w:eastAsia="宋体" w:cs="宋体"/>
          <w:color w:val="FF0000"/>
          <w:kern w:val="0"/>
          <w:sz w:val="28"/>
          <w:szCs w:val="28"/>
        </w:rPr>
        <w:t>★</w:t>
      </w:r>
      <w:r>
        <w:rPr>
          <w:rFonts w:hint="eastAsia" w:ascii="宋体" w:hAnsi="宋体" w:eastAsia="宋体" w:cs="宋体"/>
          <w:kern w:val="0"/>
          <w:sz w:val="28"/>
          <w:szCs w:val="28"/>
          <w:lang w:val="en-US"/>
        </w:rPr>
        <w:t>《卫生杀虫剂安全使用准则 拟除虫菊酯类》（GB/T27779-2011）</w:t>
      </w:r>
    </w:p>
    <w:p w14:paraId="71DC7BF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-977" w:rightChars="-349"/>
        <w:textAlignment w:val="auto"/>
        <w:rPr>
          <w:rFonts w:hint="eastAsia" w:ascii="宋体" w:hAnsi="宋体" w:eastAsia="宋体" w:cs="宋体"/>
          <w:kern w:val="0"/>
          <w:sz w:val="28"/>
          <w:szCs w:val="28"/>
          <w:lang w:val="en-US"/>
        </w:rPr>
      </w:pPr>
      <w:r>
        <w:rPr>
          <w:rFonts w:hint="eastAsia" w:ascii="宋体" w:hAnsi="宋体" w:eastAsia="宋体" w:cs="宋体"/>
          <w:color w:val="FF0000"/>
          <w:kern w:val="0"/>
          <w:sz w:val="28"/>
          <w:szCs w:val="28"/>
        </w:rPr>
        <w:t>★</w:t>
      </w:r>
      <w:r>
        <w:rPr>
          <w:rFonts w:hint="eastAsia" w:ascii="宋体" w:hAnsi="宋体" w:eastAsia="宋体" w:cs="宋体"/>
          <w:kern w:val="0"/>
          <w:sz w:val="28"/>
          <w:szCs w:val="28"/>
          <w:lang w:val="en-US"/>
        </w:rPr>
        <w:t>《杀鼠剂安全使用准则 抗凝血类》（GB/T27777-2011）</w:t>
      </w:r>
    </w:p>
    <w:bookmarkEnd w:id="12"/>
    <w:bookmarkEnd w:id="13"/>
    <w:bookmarkEnd w:id="14"/>
    <w:p w14:paraId="6E6FC40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lang w:val="en-US" w:eastAsia="zh-CN"/>
        </w:rPr>
      </w:pPr>
      <w:bookmarkStart w:id="15" w:name="_Toc17367"/>
      <w:r>
        <w:rPr>
          <w:rFonts w:hint="eastAsia" w:ascii="宋体" w:hAnsi="宋体" w:cs="宋体"/>
          <w:lang w:val="en-US" w:eastAsia="zh-CN"/>
        </w:rPr>
        <w:br w:type="page"/>
      </w:r>
    </w:p>
    <w:bookmarkEnd w:id="15"/>
    <w:p w14:paraId="337BE609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eastAsia="zh-CN"/>
        </w:rPr>
      </w:pPr>
      <w:bookmarkStart w:id="16" w:name="_Toc14120"/>
      <w:bookmarkStart w:id="17" w:name="_Toc5497"/>
      <w:bookmarkStart w:id="18" w:name="_Toc18096"/>
      <w:bookmarkStart w:id="19" w:name="_Toc24098"/>
      <w:bookmarkStart w:id="20" w:name="_Toc24165"/>
      <w:bookmarkStart w:id="21" w:name="_Toc4571"/>
      <w:r>
        <w:rPr>
          <w:rFonts w:hint="eastAsia"/>
          <w:lang w:val="zh-CN"/>
        </w:rPr>
        <w:t>第二</w:t>
      </w:r>
      <w:r>
        <w:rPr>
          <w:rFonts w:hint="eastAsia"/>
          <w:lang w:eastAsia="zh-CN"/>
        </w:rPr>
        <w:t>章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val="zh-CN"/>
        </w:rPr>
        <w:t>工作程序</w:t>
      </w:r>
      <w:bookmarkEnd w:id="16"/>
      <w:bookmarkEnd w:id="17"/>
      <w:bookmarkEnd w:id="18"/>
      <w:bookmarkEnd w:id="19"/>
      <w:bookmarkEnd w:id="20"/>
      <w:r>
        <w:rPr>
          <w:rFonts w:hint="eastAsia"/>
          <w:lang w:val="zh-CN"/>
        </w:rPr>
        <w:t>要求</w:t>
      </w:r>
      <w:bookmarkEnd w:id="21"/>
    </w:p>
    <w:tbl>
      <w:tblPr>
        <w:tblStyle w:val="23"/>
        <w:tblW w:w="9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7"/>
        <w:gridCol w:w="15"/>
        <w:gridCol w:w="793"/>
        <w:gridCol w:w="1395"/>
        <w:gridCol w:w="2768"/>
        <w:gridCol w:w="3934"/>
      </w:tblGrid>
      <w:tr w14:paraId="0764B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585" w:type="dxa"/>
            <w:gridSpan w:val="3"/>
            <w:shd w:val="clear" w:color="auto" w:fill="E2EFDA"/>
            <w:noWrap w:val="0"/>
            <w:vAlign w:val="top"/>
          </w:tcPr>
          <w:p w14:paraId="3FC02E9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  <w:lang w:eastAsia="zh-CN"/>
              </w:rPr>
              <w:t>进度</w:t>
            </w:r>
          </w:p>
        </w:tc>
        <w:tc>
          <w:tcPr>
            <w:tcW w:w="1395" w:type="dxa"/>
            <w:shd w:val="clear" w:color="auto" w:fill="E2EFDA"/>
            <w:noWrap w:val="0"/>
            <w:vAlign w:val="top"/>
          </w:tcPr>
          <w:p w14:paraId="2CF061C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  <w:lang w:eastAsia="zh-CN"/>
              </w:rPr>
              <w:t>工作类别</w:t>
            </w:r>
          </w:p>
        </w:tc>
        <w:tc>
          <w:tcPr>
            <w:tcW w:w="2768" w:type="dxa"/>
            <w:shd w:val="clear" w:color="auto" w:fill="E2EFDA"/>
            <w:noWrap w:val="0"/>
            <w:vAlign w:val="top"/>
          </w:tcPr>
          <w:p w14:paraId="22E42F6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  <w:lang w:eastAsia="zh-CN"/>
              </w:rPr>
              <w:t>工作内容</w:t>
            </w:r>
          </w:p>
        </w:tc>
        <w:tc>
          <w:tcPr>
            <w:tcW w:w="3934" w:type="dxa"/>
            <w:shd w:val="clear" w:color="auto" w:fill="E2EFDA"/>
            <w:noWrap w:val="0"/>
            <w:vAlign w:val="top"/>
          </w:tcPr>
          <w:p w14:paraId="4D6DAEF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  <w:lang w:eastAsia="zh-CN"/>
              </w:rPr>
              <w:t>备注</w:t>
            </w:r>
          </w:p>
        </w:tc>
      </w:tr>
      <w:tr w14:paraId="5AD3C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77" w:type="dxa"/>
            <w:vMerge w:val="restart"/>
            <w:shd w:val="clear" w:color="auto" w:fill="FFD965" w:themeFill="accent4" w:themeFillTint="99"/>
            <w:noWrap w:val="0"/>
            <w:vAlign w:val="top"/>
          </w:tcPr>
          <w:p w14:paraId="40C072B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eastAsia="zh-CN"/>
              </w:rPr>
            </w:pPr>
            <w:r>
              <w:rPr>
                <w:rFonts w:hint="eastAsia"/>
                <w:lang w:eastAsia="zh-CN"/>
              </w:rPr>
              <w:t>防制工作开展前准备工作</w:t>
            </w:r>
          </w:p>
        </w:tc>
        <w:tc>
          <w:tcPr>
            <w:tcW w:w="808" w:type="dxa"/>
            <w:gridSpan w:val="2"/>
            <w:vMerge w:val="restart"/>
            <w:noWrap w:val="0"/>
            <w:vAlign w:val="top"/>
          </w:tcPr>
          <w:p w14:paraId="571E63F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  <w:lang w:eastAsia="zh-CN"/>
              </w:rPr>
              <w:t>第一阶段</w:t>
            </w:r>
          </w:p>
        </w:tc>
        <w:tc>
          <w:tcPr>
            <w:tcW w:w="1395" w:type="dxa"/>
            <w:vMerge w:val="restart"/>
            <w:noWrap w:val="0"/>
            <w:vAlign w:val="top"/>
          </w:tcPr>
          <w:p w14:paraId="7E57478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2"/>
                <w:lang w:eastAsia="zh-CN"/>
              </w:rPr>
              <w:t>学校病虫</w:t>
            </w:r>
            <w:r>
              <w:rPr>
                <w:rFonts w:hint="eastAsia" w:ascii="宋体" w:hAnsi="宋体" w:eastAsia="宋体" w:cs="宋体"/>
                <w:sz w:val="24"/>
                <w:szCs w:val="22"/>
                <w:lang w:eastAsia="zh-CN"/>
              </w:rPr>
              <w:t>滋生地</w:t>
            </w: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/栖息地的调查</w:t>
            </w:r>
          </w:p>
        </w:tc>
        <w:tc>
          <w:tcPr>
            <w:tcW w:w="2768" w:type="dxa"/>
            <w:vMerge w:val="restart"/>
            <w:noWrap w:val="0"/>
            <w:vAlign w:val="top"/>
          </w:tcPr>
          <w:p w14:paraId="4FE2879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  <w:lang w:eastAsia="zh-CN"/>
              </w:rPr>
              <w:t>在</w:t>
            </w:r>
            <w:r>
              <w:rPr>
                <w:rFonts w:hint="eastAsia" w:ascii="宋体" w:hAnsi="宋体" w:cs="宋体"/>
                <w:sz w:val="24"/>
                <w:szCs w:val="22"/>
                <w:lang w:eastAsia="zh-CN"/>
              </w:rPr>
              <w:t>学校各区域</w:t>
            </w: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调查滋生地、栖息地。</w:t>
            </w:r>
          </w:p>
        </w:tc>
        <w:tc>
          <w:tcPr>
            <w:tcW w:w="3934" w:type="dxa"/>
            <w:vMerge w:val="restart"/>
            <w:noWrap w:val="0"/>
            <w:vAlign w:val="top"/>
          </w:tcPr>
          <w:p w14:paraId="2D8CBF3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孳生地/栖息地调查结果必须详细，</w:t>
            </w:r>
            <w:r>
              <w:rPr>
                <w:rFonts w:hint="eastAsia" w:ascii="宋体" w:hAnsi="宋体" w:cs="宋体"/>
                <w:sz w:val="24"/>
                <w:szCs w:val="22"/>
                <w:lang w:val="en-US" w:eastAsia="zh-CN"/>
              </w:rPr>
              <w:t>根据调查情况，形成</w:t>
            </w: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有效并切合实际的整改、完善方案</w:t>
            </w:r>
            <w:r>
              <w:rPr>
                <w:rFonts w:hint="eastAsia" w:ascii="宋体" w:hAnsi="宋体" w:cs="宋体"/>
                <w:sz w:val="24"/>
                <w:szCs w:val="22"/>
                <w:lang w:val="en-US" w:eastAsia="zh-CN"/>
              </w:rPr>
              <w:t>报后勤服务中心</w:t>
            </w: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。</w:t>
            </w:r>
          </w:p>
        </w:tc>
      </w:tr>
      <w:tr w14:paraId="50C6F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777" w:type="dxa"/>
            <w:vMerge w:val="continue"/>
            <w:shd w:val="clear" w:color="auto" w:fill="FFD965" w:themeFill="accent4" w:themeFillTint="99"/>
            <w:noWrap w:val="0"/>
            <w:vAlign w:val="top"/>
          </w:tcPr>
          <w:p w14:paraId="7ABE1E9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eastAsia="zh-CN"/>
              </w:rPr>
            </w:pPr>
          </w:p>
        </w:tc>
        <w:tc>
          <w:tcPr>
            <w:tcW w:w="808" w:type="dxa"/>
            <w:gridSpan w:val="2"/>
            <w:vMerge w:val="continue"/>
            <w:noWrap w:val="0"/>
            <w:vAlign w:val="top"/>
          </w:tcPr>
          <w:p w14:paraId="7609E17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eastAsia="zh-CN"/>
              </w:rPr>
            </w:pPr>
          </w:p>
        </w:tc>
        <w:tc>
          <w:tcPr>
            <w:tcW w:w="1395" w:type="dxa"/>
            <w:vMerge w:val="continue"/>
            <w:noWrap w:val="0"/>
            <w:vAlign w:val="top"/>
          </w:tcPr>
          <w:p w14:paraId="290252C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</w:pPr>
          </w:p>
        </w:tc>
        <w:tc>
          <w:tcPr>
            <w:tcW w:w="2768" w:type="dxa"/>
            <w:vMerge w:val="continue"/>
            <w:noWrap w:val="0"/>
            <w:vAlign w:val="top"/>
          </w:tcPr>
          <w:p w14:paraId="7EE1942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eastAsia="zh-CN"/>
              </w:rPr>
            </w:pPr>
          </w:p>
        </w:tc>
        <w:tc>
          <w:tcPr>
            <w:tcW w:w="3934" w:type="dxa"/>
            <w:vMerge w:val="continue"/>
            <w:noWrap w:val="0"/>
            <w:vAlign w:val="top"/>
          </w:tcPr>
          <w:p w14:paraId="3B4748D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</w:pPr>
          </w:p>
        </w:tc>
      </w:tr>
      <w:tr w14:paraId="2CD32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5" w:hRule="atLeast"/>
        </w:trPr>
        <w:tc>
          <w:tcPr>
            <w:tcW w:w="777" w:type="dxa"/>
            <w:vMerge w:val="restart"/>
            <w:shd w:val="clear" w:color="auto" w:fill="FFD965" w:themeFill="accent4" w:themeFillTint="99"/>
            <w:noWrap w:val="0"/>
            <w:vAlign w:val="top"/>
          </w:tcPr>
          <w:p w14:paraId="331CA34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  <w:lang w:eastAsia="zh-CN"/>
              </w:rPr>
              <w:t>防制工作开展</w:t>
            </w:r>
          </w:p>
        </w:tc>
        <w:tc>
          <w:tcPr>
            <w:tcW w:w="808" w:type="dxa"/>
            <w:gridSpan w:val="2"/>
            <w:noWrap w:val="0"/>
            <w:vAlign w:val="top"/>
          </w:tcPr>
          <w:p w14:paraId="5153E18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  <w:lang w:eastAsia="zh-CN"/>
              </w:rPr>
              <w:t>第二阶段</w:t>
            </w:r>
          </w:p>
        </w:tc>
        <w:tc>
          <w:tcPr>
            <w:tcW w:w="1395" w:type="dxa"/>
            <w:noWrap w:val="0"/>
            <w:vAlign w:val="top"/>
          </w:tcPr>
          <w:p w14:paraId="6878FFC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毒饵站建立、维护、修补</w:t>
            </w:r>
          </w:p>
        </w:tc>
        <w:tc>
          <w:tcPr>
            <w:tcW w:w="2768" w:type="dxa"/>
            <w:noWrap w:val="0"/>
            <w:vAlign w:val="top"/>
          </w:tcPr>
          <w:p w14:paraId="5EC627E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在</w:t>
            </w: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项目服务区各个单位内查补安装毒饵站</w:t>
            </w:r>
          </w:p>
        </w:tc>
        <w:tc>
          <w:tcPr>
            <w:tcW w:w="3934" w:type="dxa"/>
            <w:noWrap w:val="0"/>
            <w:vAlign w:val="top"/>
          </w:tcPr>
          <w:p w14:paraId="3449500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设施设备的建立安装必须悬挂或装订明显的安全标识牌；标识牌须包含以下内容：a、设备名称；b、设备功效；c、设备编号；d、如设备含有有毒物质必须有明显提示字样，并说明解毒药剂。</w:t>
            </w:r>
          </w:p>
          <w:p w14:paraId="55BFCAA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设备及标识牌安装合理、有效、安全，标识牌牢固耐用，字样清晰持续时间久，</w:t>
            </w:r>
            <w:r>
              <w:rPr>
                <w:rFonts w:hint="eastAsia" w:ascii="宋体" w:hAnsi="宋体" w:eastAsia="宋体" w:cs="宋体"/>
                <w:sz w:val="24"/>
                <w:szCs w:val="22"/>
              </w:rPr>
              <w:t>防水防潮</w:t>
            </w: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；安装后不影响美观。</w:t>
            </w:r>
          </w:p>
        </w:tc>
      </w:tr>
      <w:tr w14:paraId="76BD3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</w:trPr>
        <w:tc>
          <w:tcPr>
            <w:tcW w:w="777" w:type="dxa"/>
            <w:vMerge w:val="continue"/>
            <w:shd w:val="clear" w:color="auto" w:fill="FFD965" w:themeFill="accent4" w:themeFillTint="99"/>
            <w:noWrap w:val="0"/>
            <w:vAlign w:val="top"/>
          </w:tcPr>
          <w:p w14:paraId="17683B5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eastAsia="zh-CN"/>
              </w:rPr>
            </w:pPr>
          </w:p>
        </w:tc>
        <w:tc>
          <w:tcPr>
            <w:tcW w:w="808" w:type="dxa"/>
            <w:gridSpan w:val="2"/>
            <w:noWrap w:val="0"/>
            <w:vAlign w:val="top"/>
          </w:tcPr>
          <w:p w14:paraId="20B71AB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  <w:lang w:eastAsia="zh-CN"/>
              </w:rPr>
              <w:t>第三阶段</w:t>
            </w:r>
          </w:p>
        </w:tc>
        <w:tc>
          <w:tcPr>
            <w:tcW w:w="1395" w:type="dxa"/>
            <w:noWrap w:val="0"/>
            <w:vAlign w:val="top"/>
          </w:tcPr>
          <w:p w14:paraId="03E8F7C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  <w:lang w:eastAsia="zh-CN"/>
              </w:rPr>
              <w:t>各个单位的防制设施检查</w:t>
            </w:r>
          </w:p>
        </w:tc>
        <w:tc>
          <w:tcPr>
            <w:tcW w:w="2768" w:type="dxa"/>
            <w:noWrap w:val="0"/>
            <w:vAlign w:val="top"/>
          </w:tcPr>
          <w:p w14:paraId="4C95C6C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重点检查：</w:t>
            </w:r>
            <w:r>
              <w:rPr>
                <w:rFonts w:hint="eastAsia" w:ascii="宋体" w:hAnsi="宋体" w:cs="宋体"/>
                <w:sz w:val="24"/>
                <w:szCs w:val="22"/>
                <w:lang w:val="en-US" w:eastAsia="zh-CN"/>
              </w:rPr>
              <w:t>配电室</w:t>
            </w: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、垃圾房等详细记录每一个检查对象，分类记录不合格区域及不合格项目。</w:t>
            </w:r>
          </w:p>
          <w:p w14:paraId="1581705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以重点区域重点检查、多次检查为原则，对不合格区域等进行指导、督促整改完善；</w:t>
            </w:r>
          </w:p>
        </w:tc>
        <w:tc>
          <w:tcPr>
            <w:tcW w:w="3934" w:type="dxa"/>
            <w:noWrap w:val="0"/>
            <w:vAlign w:val="top"/>
          </w:tcPr>
          <w:p w14:paraId="1A8185F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1、检查结果</w:t>
            </w:r>
            <w:r>
              <w:rPr>
                <w:rFonts w:hint="eastAsia" w:ascii="宋体" w:hAnsi="宋体" w:cs="宋体"/>
                <w:sz w:val="24"/>
                <w:szCs w:val="22"/>
                <w:lang w:val="en-US" w:eastAsia="zh-CN"/>
              </w:rPr>
              <w:t>及时反馈学校，并给出切实可行的整改建议和实施方案。</w:t>
            </w:r>
          </w:p>
        </w:tc>
      </w:tr>
      <w:tr w14:paraId="20B56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777" w:type="dxa"/>
            <w:vMerge w:val="continue"/>
            <w:shd w:val="clear" w:color="auto" w:fill="FFD965" w:themeFill="accent4" w:themeFillTint="99"/>
            <w:noWrap w:val="0"/>
            <w:vAlign w:val="top"/>
          </w:tcPr>
          <w:p w14:paraId="0C38B7A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eastAsia="zh-CN"/>
              </w:rPr>
            </w:pPr>
          </w:p>
        </w:tc>
        <w:tc>
          <w:tcPr>
            <w:tcW w:w="808" w:type="dxa"/>
            <w:gridSpan w:val="2"/>
            <w:vMerge w:val="restart"/>
            <w:noWrap w:val="0"/>
            <w:vAlign w:val="top"/>
          </w:tcPr>
          <w:p w14:paraId="2255FE5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  <w:lang w:eastAsia="zh-CN"/>
              </w:rPr>
              <w:t>第四阶段</w:t>
            </w:r>
          </w:p>
        </w:tc>
        <w:tc>
          <w:tcPr>
            <w:tcW w:w="8097" w:type="dxa"/>
            <w:gridSpan w:val="3"/>
            <w:noWrap w:val="0"/>
            <w:vAlign w:val="top"/>
          </w:tcPr>
          <w:p w14:paraId="4DE8D65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5B9BD5"/>
                <w:sz w:val="24"/>
                <w:szCs w:val="22"/>
                <w:lang w:eastAsia="zh-CN"/>
              </w:rPr>
              <w:t>开展消杀工作</w:t>
            </w:r>
          </w:p>
        </w:tc>
      </w:tr>
      <w:tr w14:paraId="0869F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777" w:type="dxa"/>
            <w:vMerge w:val="continue"/>
            <w:shd w:val="clear" w:color="auto" w:fill="FFD965" w:themeFill="accent4" w:themeFillTint="99"/>
            <w:noWrap w:val="0"/>
            <w:vAlign w:val="top"/>
          </w:tcPr>
          <w:p w14:paraId="1F2F53E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</w:tc>
        <w:tc>
          <w:tcPr>
            <w:tcW w:w="808" w:type="dxa"/>
            <w:gridSpan w:val="2"/>
            <w:vMerge w:val="continue"/>
            <w:noWrap w:val="0"/>
            <w:vAlign w:val="top"/>
          </w:tcPr>
          <w:p w14:paraId="647FC4E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eastAsia="zh-CN"/>
              </w:rPr>
            </w:pPr>
          </w:p>
        </w:tc>
        <w:tc>
          <w:tcPr>
            <w:tcW w:w="1395" w:type="dxa"/>
            <w:noWrap w:val="0"/>
            <w:vAlign w:val="top"/>
          </w:tcPr>
          <w:p w14:paraId="2280B7C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老鼠：</w:t>
            </w:r>
          </w:p>
          <w:p w14:paraId="1A63415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eastAsia="zh-CN"/>
              </w:rPr>
            </w:pPr>
          </w:p>
        </w:tc>
        <w:tc>
          <w:tcPr>
            <w:tcW w:w="2768" w:type="dxa"/>
            <w:noWrap w:val="0"/>
            <w:vAlign w:val="top"/>
          </w:tcPr>
          <w:p w14:paraId="714F7A0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在</w:t>
            </w:r>
            <w:r>
              <w:rPr>
                <w:rFonts w:hint="eastAsia" w:ascii="宋体" w:hAnsi="宋体" w:eastAsia="宋体" w:cs="宋体"/>
                <w:sz w:val="24"/>
                <w:szCs w:val="22"/>
                <w:lang w:eastAsia="zh-CN"/>
              </w:rPr>
              <w:t>项目服务区域</w:t>
            </w:r>
            <w:r>
              <w:rPr>
                <w:rFonts w:hint="eastAsia" w:ascii="宋体" w:hAnsi="宋体" w:eastAsia="宋体" w:cs="宋体"/>
                <w:sz w:val="24"/>
                <w:szCs w:val="22"/>
              </w:rPr>
              <w:t>外环境进行灭鼠投药，有效降低鼠密度</w:t>
            </w:r>
            <w:r>
              <w:rPr>
                <w:rFonts w:hint="eastAsia" w:ascii="宋体" w:hAnsi="宋体" w:eastAsia="宋体" w:cs="宋体"/>
                <w:sz w:val="24"/>
                <w:szCs w:val="22"/>
                <w:lang w:eastAsia="zh-CN"/>
              </w:rPr>
              <w:t>；</w:t>
            </w:r>
          </w:p>
          <w:p w14:paraId="641A495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2、检查各个区域外环境是否存有鼠洞，如发现必须现场进行封堵，并且在内投放鼠药。</w:t>
            </w:r>
          </w:p>
        </w:tc>
        <w:tc>
          <w:tcPr>
            <w:tcW w:w="3934" w:type="dxa"/>
            <w:noWrap w:val="0"/>
            <w:vAlign w:val="top"/>
          </w:tcPr>
          <w:p w14:paraId="4940A6B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1、投药地点必须在老鼠路径且隐蔽，无安全隐患；</w:t>
            </w:r>
          </w:p>
          <w:p w14:paraId="4BBC2B8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2、有动物活动区域禁止投药，如需投药，必须投放于毒饵站内；</w:t>
            </w:r>
          </w:p>
          <w:p w14:paraId="1BEDD59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3、室内不得投放鼠药。</w:t>
            </w:r>
          </w:p>
          <w:p w14:paraId="3C187B62">
            <w:pPr>
              <w:pStyle w:val="1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2"/>
                <w:lang w:val="en-US" w:eastAsia="zh-CN"/>
              </w:rPr>
              <w:t>4、做好相关安全及防护标识提醒。</w:t>
            </w:r>
          </w:p>
        </w:tc>
      </w:tr>
      <w:tr w14:paraId="667BD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5" w:hRule="atLeast"/>
        </w:trPr>
        <w:tc>
          <w:tcPr>
            <w:tcW w:w="777" w:type="dxa"/>
            <w:vMerge w:val="continue"/>
            <w:shd w:val="clear" w:color="auto" w:fill="FFD965" w:themeFill="accent4" w:themeFillTint="99"/>
            <w:noWrap w:val="0"/>
            <w:vAlign w:val="top"/>
          </w:tcPr>
          <w:p w14:paraId="63CE372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</w:tc>
        <w:tc>
          <w:tcPr>
            <w:tcW w:w="808" w:type="dxa"/>
            <w:gridSpan w:val="2"/>
            <w:vMerge w:val="continue"/>
            <w:noWrap w:val="0"/>
            <w:vAlign w:val="top"/>
          </w:tcPr>
          <w:p w14:paraId="27E7232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</w:tc>
        <w:tc>
          <w:tcPr>
            <w:tcW w:w="1395" w:type="dxa"/>
            <w:noWrap w:val="0"/>
            <w:vAlign w:val="top"/>
          </w:tcPr>
          <w:p w14:paraId="3BA6895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2"/>
                <w:lang w:eastAsia="zh-CN"/>
              </w:rPr>
              <w:t>蟑螂</w:t>
            </w:r>
            <w:r>
              <w:rPr>
                <w:rFonts w:hint="eastAsia" w:ascii="宋体" w:hAnsi="宋体" w:eastAsia="宋体" w:cs="宋体"/>
                <w:sz w:val="24"/>
                <w:szCs w:val="22"/>
                <w:lang w:eastAsia="zh-CN"/>
              </w:rPr>
              <w:t>：</w:t>
            </w:r>
          </w:p>
        </w:tc>
        <w:tc>
          <w:tcPr>
            <w:tcW w:w="2768" w:type="dxa"/>
            <w:noWrap w:val="0"/>
            <w:vAlign w:val="top"/>
          </w:tcPr>
          <w:p w14:paraId="13B4B37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2"/>
                <w:lang w:val="en-US" w:eastAsia="zh-CN"/>
              </w:rPr>
              <w:t>内环境蟑螂</w:t>
            </w: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：</w:t>
            </w:r>
          </w:p>
          <w:p w14:paraId="6C9C6BC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a：进行滞喷洒；</w:t>
            </w:r>
          </w:p>
          <w:p w14:paraId="2459913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B：点投杀蟑饵剂；</w:t>
            </w:r>
          </w:p>
          <w:p w14:paraId="1DD5C53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C：投放杀蟑颗粒剂；</w:t>
            </w:r>
          </w:p>
          <w:p w14:paraId="610387E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2"/>
                <w:lang w:val="en-US" w:eastAsia="zh-CN"/>
              </w:rPr>
              <w:t>外环境蟑螂</w:t>
            </w: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：</w:t>
            </w:r>
          </w:p>
          <w:p w14:paraId="7EFA89C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a：下水道进行热烟雾消杀；</w:t>
            </w:r>
          </w:p>
          <w:p w14:paraId="2358001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c：草丛、灌木、乱石等区域进行滞留喷洒或投放杀蟑颗粒剂。</w:t>
            </w:r>
          </w:p>
        </w:tc>
        <w:tc>
          <w:tcPr>
            <w:tcW w:w="3934" w:type="dxa"/>
            <w:noWrap w:val="0"/>
            <w:vAlign w:val="top"/>
          </w:tcPr>
          <w:p w14:paraId="7A19D65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灭蜚蠊时应选用合适的施工方法，不得对</w:t>
            </w:r>
            <w:r>
              <w:rPr>
                <w:rFonts w:hint="eastAsia" w:ascii="宋体" w:hAnsi="宋体" w:cs="宋体"/>
                <w:sz w:val="24"/>
                <w:szCs w:val="22"/>
                <w:lang w:val="en-US" w:eastAsia="zh-CN"/>
              </w:rPr>
              <w:t>甲方人员、财物</w:t>
            </w: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造成损失，并注意施工安全；</w:t>
            </w:r>
          </w:p>
          <w:p w14:paraId="7903DFA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对每一个施工对象进行记录，施工内容及环境状况等；</w:t>
            </w:r>
          </w:p>
          <w:p w14:paraId="0341F6A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蜚蠊侵害严重的单位进行标记，以便进行二次消杀；</w:t>
            </w:r>
          </w:p>
        </w:tc>
      </w:tr>
      <w:tr w14:paraId="60B5A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777" w:type="dxa"/>
            <w:vMerge w:val="continue"/>
            <w:shd w:val="clear" w:color="auto" w:fill="FFD965" w:themeFill="accent4" w:themeFillTint="99"/>
            <w:noWrap w:val="0"/>
            <w:vAlign w:val="top"/>
          </w:tcPr>
          <w:p w14:paraId="775C1B8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eastAsia="zh-CN"/>
              </w:rPr>
            </w:pPr>
          </w:p>
        </w:tc>
        <w:tc>
          <w:tcPr>
            <w:tcW w:w="808" w:type="dxa"/>
            <w:gridSpan w:val="2"/>
            <w:vMerge w:val="continue"/>
            <w:noWrap w:val="0"/>
            <w:vAlign w:val="top"/>
          </w:tcPr>
          <w:p w14:paraId="40E28B4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eastAsia="zh-CN"/>
              </w:rPr>
            </w:pPr>
          </w:p>
        </w:tc>
        <w:tc>
          <w:tcPr>
            <w:tcW w:w="1395" w:type="dxa"/>
            <w:noWrap w:val="0"/>
            <w:vAlign w:val="top"/>
          </w:tcPr>
          <w:p w14:paraId="00CFF53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  <w:lang w:eastAsia="zh-CN"/>
              </w:rPr>
              <w:t>蚊子：</w:t>
            </w:r>
          </w:p>
        </w:tc>
        <w:tc>
          <w:tcPr>
            <w:tcW w:w="2768" w:type="dxa"/>
            <w:noWrap w:val="0"/>
            <w:vAlign w:val="top"/>
          </w:tcPr>
          <w:p w14:paraId="3F44F25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幼虫：投放/喷洒灭蚊药剂；</w:t>
            </w:r>
          </w:p>
          <w:p w14:paraId="283C9FC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成虫：</w:t>
            </w:r>
          </w:p>
          <w:p w14:paraId="15B0D00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a：在灌木丛、杂草密集区域进行滞留喷洒。</w:t>
            </w:r>
          </w:p>
        </w:tc>
        <w:tc>
          <w:tcPr>
            <w:tcW w:w="3934" w:type="dxa"/>
            <w:vMerge w:val="restart"/>
            <w:noWrap w:val="0"/>
            <w:vAlign w:val="top"/>
          </w:tcPr>
          <w:p w14:paraId="6825E5D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进行滞留喷洒、喷粉时必须先观察周围人群，不得把药物喷洒到人群、动物、宠物身上；</w:t>
            </w:r>
          </w:p>
          <w:p w14:paraId="020A7EC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必要区域提前放置病媒</w:t>
            </w:r>
            <w:r>
              <w:rPr>
                <w:rFonts w:hint="eastAsia" w:ascii="宋体" w:hAnsi="宋体" w:cs="宋体"/>
                <w:sz w:val="24"/>
                <w:szCs w:val="22"/>
                <w:lang w:val="en-US" w:eastAsia="zh-CN"/>
              </w:rPr>
              <w:t>生物防治</w:t>
            </w: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工作消杀提示牌或使用消杀警戒线、隔离线等；</w:t>
            </w:r>
          </w:p>
          <w:p w14:paraId="0930B33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施工过程中必须注意施工安全，保护他人及自身安全。</w:t>
            </w:r>
          </w:p>
        </w:tc>
      </w:tr>
      <w:tr w14:paraId="22877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3" w:hRule="atLeast"/>
        </w:trPr>
        <w:tc>
          <w:tcPr>
            <w:tcW w:w="777" w:type="dxa"/>
            <w:vMerge w:val="continue"/>
            <w:shd w:val="clear" w:color="auto" w:fill="FFD965" w:themeFill="accent4" w:themeFillTint="99"/>
            <w:noWrap w:val="0"/>
            <w:vAlign w:val="top"/>
          </w:tcPr>
          <w:p w14:paraId="5B03A19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eastAsia="zh-CN"/>
              </w:rPr>
            </w:pPr>
          </w:p>
        </w:tc>
        <w:tc>
          <w:tcPr>
            <w:tcW w:w="808" w:type="dxa"/>
            <w:gridSpan w:val="2"/>
            <w:vMerge w:val="continue"/>
            <w:noWrap w:val="0"/>
            <w:vAlign w:val="top"/>
          </w:tcPr>
          <w:p w14:paraId="0E3D67C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eastAsia="zh-CN"/>
              </w:rPr>
            </w:pPr>
          </w:p>
        </w:tc>
        <w:tc>
          <w:tcPr>
            <w:tcW w:w="1395" w:type="dxa"/>
            <w:noWrap w:val="0"/>
            <w:vAlign w:val="top"/>
          </w:tcPr>
          <w:p w14:paraId="46906E4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  <w:lang w:eastAsia="zh-CN"/>
              </w:rPr>
              <w:t>苍蝇：</w:t>
            </w:r>
          </w:p>
        </w:tc>
        <w:tc>
          <w:tcPr>
            <w:tcW w:w="2768" w:type="dxa"/>
            <w:noWrap w:val="0"/>
            <w:vAlign w:val="top"/>
          </w:tcPr>
          <w:p w14:paraId="35425FB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幼虫：</w:t>
            </w:r>
          </w:p>
          <w:p w14:paraId="60A8308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在幼虫孳生地区域，清除腐烂食物等，如无法清除的区域，反复喷洒或投放药物；</w:t>
            </w:r>
          </w:p>
          <w:p w14:paraId="3D70496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成虫：</w:t>
            </w:r>
          </w:p>
          <w:p w14:paraId="6D6F916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a：进行滞留喷洒；</w:t>
            </w:r>
          </w:p>
          <w:p w14:paraId="3BCA3AC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b：对于苍蝇较多区域，根据实际需求情况增加额外的捕蝇笼。</w:t>
            </w:r>
          </w:p>
        </w:tc>
        <w:tc>
          <w:tcPr>
            <w:tcW w:w="3934" w:type="dxa"/>
            <w:vMerge w:val="continue"/>
            <w:noWrap w:val="0"/>
            <w:vAlign w:val="top"/>
          </w:tcPr>
          <w:p w14:paraId="6D9CFA2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eastAsia="zh-CN"/>
              </w:rPr>
            </w:pPr>
          </w:p>
        </w:tc>
      </w:tr>
      <w:tr w14:paraId="7131A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8" w:hRule="atLeast"/>
        </w:trPr>
        <w:tc>
          <w:tcPr>
            <w:tcW w:w="792" w:type="dxa"/>
            <w:gridSpan w:val="2"/>
            <w:shd w:val="clear" w:color="auto" w:fill="auto"/>
            <w:noWrap w:val="0"/>
            <w:vAlign w:val="top"/>
          </w:tcPr>
          <w:p w14:paraId="1C59CD0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lang w:eastAsia="zh-CN"/>
              </w:rPr>
            </w:pPr>
          </w:p>
        </w:tc>
        <w:tc>
          <w:tcPr>
            <w:tcW w:w="793" w:type="dxa"/>
            <w:shd w:val="clear" w:color="auto" w:fill="auto"/>
            <w:noWrap w:val="0"/>
            <w:vAlign w:val="top"/>
          </w:tcPr>
          <w:p w14:paraId="44B65F5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lang w:eastAsia="zh-CN"/>
              </w:rPr>
            </w:pPr>
          </w:p>
        </w:tc>
        <w:tc>
          <w:tcPr>
            <w:tcW w:w="1395" w:type="dxa"/>
            <w:shd w:val="clear" w:color="auto" w:fill="auto"/>
            <w:noWrap w:val="0"/>
            <w:vAlign w:val="top"/>
          </w:tcPr>
          <w:p w14:paraId="4FE15C9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蚂蚁</w:t>
            </w:r>
          </w:p>
        </w:tc>
        <w:tc>
          <w:tcPr>
            <w:tcW w:w="2768" w:type="dxa"/>
            <w:shd w:val="clear" w:color="auto" w:fill="auto"/>
            <w:noWrap w:val="0"/>
            <w:vAlign w:val="top"/>
          </w:tcPr>
          <w:p w14:paraId="6C4B6EE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检查各个区域外环境是否存有</w:t>
            </w:r>
            <w:r>
              <w:rPr>
                <w:rFonts w:hint="eastAsia" w:ascii="宋体" w:hAnsi="宋体" w:cs="宋体"/>
                <w:sz w:val="24"/>
                <w:szCs w:val="22"/>
                <w:lang w:val="en-US" w:eastAsia="zh-CN"/>
              </w:rPr>
              <w:t>蚂蚁洞穴</w:t>
            </w: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，如发现必须现场进行封堵，反复喷洒或投放药物；</w:t>
            </w:r>
            <w:r>
              <w:rPr>
                <w:rFonts w:hint="eastAsia" w:ascii="宋体" w:hAnsi="宋体" w:eastAsia="宋体" w:cs="宋体"/>
                <w:sz w:val="24"/>
                <w:szCs w:val="22"/>
              </w:rPr>
              <w:t>有效降低</w:t>
            </w:r>
            <w:r>
              <w:rPr>
                <w:rFonts w:hint="eastAsia" w:ascii="宋体" w:hAnsi="宋体" w:cs="宋体"/>
                <w:sz w:val="24"/>
                <w:szCs w:val="22"/>
                <w:lang w:eastAsia="zh-CN"/>
              </w:rPr>
              <w:t>蚂蚁分布</w:t>
            </w:r>
            <w:r>
              <w:rPr>
                <w:rFonts w:hint="eastAsia" w:ascii="宋体" w:hAnsi="宋体" w:eastAsia="宋体" w:cs="宋体"/>
                <w:sz w:val="24"/>
                <w:szCs w:val="22"/>
              </w:rPr>
              <w:t>密度</w:t>
            </w:r>
            <w:r>
              <w:rPr>
                <w:rFonts w:hint="eastAsia" w:ascii="宋体" w:hAnsi="宋体" w:eastAsia="宋体" w:cs="宋体"/>
                <w:sz w:val="24"/>
                <w:szCs w:val="22"/>
                <w:lang w:eastAsia="zh-CN"/>
              </w:rPr>
              <w:t>；</w:t>
            </w:r>
          </w:p>
          <w:p w14:paraId="6F44564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lang w:eastAsia="zh-CN"/>
              </w:rPr>
            </w:pPr>
          </w:p>
        </w:tc>
        <w:tc>
          <w:tcPr>
            <w:tcW w:w="3934" w:type="dxa"/>
            <w:shd w:val="clear" w:color="auto" w:fill="auto"/>
            <w:noWrap w:val="0"/>
            <w:vAlign w:val="top"/>
          </w:tcPr>
          <w:p w14:paraId="52916D9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每一个施工对象进行记录，施工内容及环境状况等；</w:t>
            </w:r>
          </w:p>
          <w:p w14:paraId="1DE4329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2"/>
                <w:lang w:val="en-US" w:eastAsia="zh-CN"/>
              </w:rPr>
              <w:t>蚂蚁分布密集的</w:t>
            </w: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的单位进行标记，以便进行二次</w:t>
            </w:r>
            <w:r>
              <w:rPr>
                <w:rFonts w:hint="eastAsia" w:ascii="宋体" w:hAnsi="宋体" w:cs="宋体"/>
                <w:sz w:val="24"/>
                <w:szCs w:val="22"/>
                <w:lang w:val="en-US" w:eastAsia="zh-CN"/>
              </w:rPr>
              <w:t>跟进</w:t>
            </w: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消杀；</w:t>
            </w:r>
          </w:p>
        </w:tc>
      </w:tr>
      <w:tr w14:paraId="0FE9F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8" w:hRule="atLeast"/>
        </w:trPr>
        <w:tc>
          <w:tcPr>
            <w:tcW w:w="777" w:type="dxa"/>
            <w:shd w:val="clear" w:color="auto" w:fill="FFD965" w:themeFill="accent4" w:themeFillTint="99"/>
            <w:noWrap w:val="0"/>
            <w:vAlign w:val="top"/>
          </w:tcPr>
          <w:p w14:paraId="23D210B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  <w:lang w:eastAsia="zh-CN"/>
              </w:rPr>
              <w:t>巩固完善</w:t>
            </w:r>
          </w:p>
        </w:tc>
        <w:tc>
          <w:tcPr>
            <w:tcW w:w="808" w:type="dxa"/>
            <w:gridSpan w:val="2"/>
            <w:noWrap w:val="0"/>
            <w:vAlign w:val="top"/>
          </w:tcPr>
          <w:p w14:paraId="52062B2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  <w:lang w:eastAsia="zh-CN"/>
              </w:rPr>
              <w:t>第五阶段</w:t>
            </w:r>
          </w:p>
        </w:tc>
        <w:tc>
          <w:tcPr>
            <w:tcW w:w="1395" w:type="dxa"/>
            <w:noWrap w:val="0"/>
            <w:vAlign w:val="top"/>
          </w:tcPr>
          <w:p w14:paraId="5D44CC4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  <w:lang w:eastAsia="zh-CN"/>
              </w:rPr>
              <w:t>完善防制工作数据报表</w:t>
            </w:r>
          </w:p>
        </w:tc>
        <w:tc>
          <w:tcPr>
            <w:tcW w:w="2768" w:type="dxa"/>
            <w:noWrap w:val="0"/>
            <w:vAlign w:val="top"/>
          </w:tcPr>
          <w:p w14:paraId="0A535FF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2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工作时、必须对每一个消杀对象进行详细的记录；</w:t>
            </w:r>
          </w:p>
          <w:p w14:paraId="14CA897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2、提交</w:t>
            </w:r>
            <w:r>
              <w:rPr>
                <w:rFonts w:hint="eastAsia" w:ascii="宋体" w:hAnsi="宋体" w:cs="宋体"/>
                <w:sz w:val="24"/>
                <w:szCs w:val="22"/>
                <w:lang w:val="en-US" w:eastAsia="zh-CN"/>
              </w:rPr>
              <w:t>备案</w:t>
            </w: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资料包含但不限于以下内容：</w:t>
            </w:r>
            <w:r>
              <w:rPr>
                <w:rFonts w:hint="eastAsia" w:ascii="宋体" w:hAnsi="宋体" w:eastAsia="宋体" w:cs="宋体"/>
                <w:sz w:val="24"/>
                <w:szCs w:val="22"/>
              </w:rPr>
              <w:t>按防制工作进度及时提供“防制工作计划”、“防制工作记录”、“防制工作报告”、“防制工作整改建议”等相关资料。</w:t>
            </w:r>
          </w:p>
        </w:tc>
        <w:tc>
          <w:tcPr>
            <w:tcW w:w="3934" w:type="dxa"/>
            <w:noWrap w:val="0"/>
            <w:vAlign w:val="top"/>
          </w:tcPr>
          <w:p w14:paraId="50D1C82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1、所有工作记录资料不得伪造或者随意填写，需要真实且有效</w:t>
            </w:r>
            <w:r>
              <w:rPr>
                <w:rFonts w:hint="eastAsia" w:ascii="宋体" w:hAnsi="宋体" w:cs="宋体"/>
                <w:sz w:val="24"/>
                <w:szCs w:val="22"/>
                <w:lang w:val="en-US" w:eastAsia="zh-CN"/>
              </w:rPr>
              <w:t>地反映</w:t>
            </w: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病媒</w:t>
            </w:r>
            <w:r>
              <w:rPr>
                <w:rFonts w:hint="eastAsia" w:ascii="宋体" w:hAnsi="宋体" w:cs="宋体"/>
                <w:sz w:val="24"/>
                <w:szCs w:val="22"/>
                <w:lang w:val="en-US" w:eastAsia="zh-CN"/>
              </w:rPr>
              <w:t>生物防治</w:t>
            </w: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工作的状况；</w:t>
            </w:r>
          </w:p>
          <w:p w14:paraId="159BAC1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>2、所有材料必须按照服务单位要求进行书写，</w:t>
            </w:r>
            <w:r>
              <w:rPr>
                <w:rFonts w:hint="eastAsia" w:ascii="宋体" w:hAnsi="宋体" w:cs="宋体"/>
                <w:sz w:val="24"/>
                <w:szCs w:val="22"/>
                <w:lang w:val="en-US" w:eastAsia="zh-CN"/>
              </w:rPr>
              <w:t>服务记录表需校方人员签字确认。</w:t>
            </w:r>
          </w:p>
        </w:tc>
      </w:tr>
    </w:tbl>
    <w:p w14:paraId="79B2C4D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2"/>
          <w:lang w:eastAsia="zh-CN"/>
        </w:rPr>
      </w:pPr>
    </w:p>
    <w:p w14:paraId="008BDF45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eastAsia="zh-CN"/>
        </w:rPr>
      </w:pPr>
      <w:bookmarkStart w:id="22" w:name="_Toc4030"/>
      <w:r>
        <w:rPr>
          <w:rFonts w:hint="eastAsia"/>
          <w:lang w:eastAsia="zh-CN"/>
        </w:rPr>
        <w:t>第三章 重点区域防制内容要点</w:t>
      </w:r>
      <w:bookmarkEnd w:id="22"/>
    </w:p>
    <w:p w14:paraId="0621CDE6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eastAsia="zh-CN"/>
        </w:rPr>
      </w:pPr>
      <w:bookmarkStart w:id="23" w:name="_Toc7027"/>
      <w:r>
        <w:rPr>
          <w:rFonts w:hint="eastAsia"/>
          <w:lang w:eastAsia="zh-CN"/>
        </w:rPr>
        <w:t>一、垃圾桶、垃圾站</w:t>
      </w:r>
      <w:bookmarkEnd w:id="23"/>
    </w:p>
    <w:p w14:paraId="729CE12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cs="宋体"/>
          <w:sz w:val="28"/>
          <w:szCs w:val="28"/>
          <w:lang w:eastAsia="zh-CN"/>
        </w:rPr>
        <w:t>防治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方法（灭鼠）：</w:t>
      </w:r>
    </w:p>
    <w:p w14:paraId="045A6A8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（1）垃圾桶/站旁边安装毒饵，定期投放灭鼠毒饵；</w:t>
      </w:r>
    </w:p>
    <w:p w14:paraId="61CBC70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（2）检查周边绿化带、绿地，查找有无鼠洞，并进行封堵；</w:t>
      </w:r>
    </w:p>
    <w:p w14:paraId="5062E1E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cs="宋体"/>
          <w:sz w:val="28"/>
          <w:szCs w:val="28"/>
          <w:lang w:eastAsia="zh-CN"/>
        </w:rPr>
        <w:t>防治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方法（灭蚊蝇</w:t>
      </w:r>
      <w:r>
        <w:rPr>
          <w:rFonts w:hint="eastAsia" w:ascii="宋体" w:hAnsi="宋体" w:cs="宋体"/>
          <w:sz w:val="28"/>
          <w:szCs w:val="28"/>
          <w:lang w:eastAsia="zh-CN"/>
        </w:rPr>
        <w:t>、灭蟑、灭蚁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）：</w:t>
      </w:r>
    </w:p>
    <w:p w14:paraId="00ED73E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（1）对垃圾桶、垃圾站内外进行滞留喷洒；</w:t>
      </w:r>
    </w:p>
    <w:p w14:paraId="51A33CF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（2）如周边有灌木丛等密集植被，先热烟雾速杀后再进行滞留喷洒。</w:t>
      </w:r>
    </w:p>
    <w:p w14:paraId="0D3F69A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（3）安装捕蝇袋/捕蝇笼，并定期进行更换药剂。</w:t>
      </w:r>
    </w:p>
    <w:p w14:paraId="42618862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8"/>
          <w:szCs w:val="28"/>
          <w:lang w:eastAsia="zh-CN"/>
        </w:rPr>
      </w:pPr>
      <w:bookmarkStart w:id="24" w:name="_Toc9256"/>
      <w:r>
        <w:rPr>
          <w:rFonts w:hint="eastAsia"/>
          <w:sz w:val="28"/>
          <w:szCs w:val="28"/>
          <w:lang w:eastAsia="zh-CN"/>
        </w:rPr>
        <w:t>二、下水道、排水沟、窨井</w:t>
      </w:r>
      <w:bookmarkEnd w:id="24"/>
    </w:p>
    <w:p w14:paraId="7CBDB47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cs="宋体"/>
          <w:sz w:val="28"/>
          <w:szCs w:val="28"/>
          <w:lang w:eastAsia="zh-CN"/>
        </w:rPr>
        <w:t>防治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方法（灭鼠）：</w:t>
      </w:r>
    </w:p>
    <w:p w14:paraId="138401F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在内部悬挂灭鼠蜡块，定期检查维护。</w:t>
      </w:r>
    </w:p>
    <w:p w14:paraId="68C1649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cs="宋体"/>
          <w:sz w:val="28"/>
          <w:szCs w:val="28"/>
          <w:lang w:eastAsia="zh-CN"/>
        </w:rPr>
        <w:t>防治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方法（灭蚊蝇、灭蟑</w:t>
      </w:r>
      <w:r>
        <w:rPr>
          <w:rFonts w:hint="eastAsia" w:ascii="宋体" w:hAnsi="宋体" w:cs="宋体"/>
          <w:sz w:val="28"/>
          <w:szCs w:val="28"/>
          <w:lang w:eastAsia="zh-CN"/>
        </w:rPr>
        <w:t>、灭蚁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）：</w:t>
      </w:r>
    </w:p>
    <w:p w14:paraId="3E9E927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（1）对长期积水、无法梳理的下水道、窨井投放杀虫缓蚀剂，灭蚊幼、蝇幼；</w:t>
      </w:r>
    </w:p>
    <w:p w14:paraId="0E8DF7A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（2）对下水道、窨井进行热烟雾灭蚊蝇、灭蟑螂。</w:t>
      </w:r>
    </w:p>
    <w:p w14:paraId="780838F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cs="宋体"/>
          <w:sz w:val="28"/>
          <w:szCs w:val="28"/>
          <w:lang w:eastAsia="zh-CN"/>
        </w:rPr>
      </w:pPr>
    </w:p>
    <w:p w14:paraId="639E9E3B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8"/>
          <w:szCs w:val="28"/>
          <w:lang w:eastAsia="zh-CN"/>
        </w:rPr>
      </w:pPr>
      <w:bookmarkStart w:id="25" w:name="_Toc4794"/>
      <w:r>
        <w:rPr>
          <w:rFonts w:hint="eastAsia"/>
          <w:sz w:val="28"/>
          <w:szCs w:val="28"/>
          <w:lang w:eastAsia="zh-CN"/>
        </w:rPr>
        <w:t>三、水体</w:t>
      </w:r>
      <w:bookmarkEnd w:id="25"/>
    </w:p>
    <w:p w14:paraId="0433A13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检查防制区域内所有的水体，在本项目中把水体分为可清除型、不可清除型：</w:t>
      </w:r>
    </w:p>
    <w:p w14:paraId="34DAF3E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可清除型</w:t>
      </w:r>
    </w:p>
    <w:p w14:paraId="443DF41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（1）各类小型积水容器：被丢弃在室外的饮料瓶、方便面盒等，此类水体应清除；</w:t>
      </w:r>
    </w:p>
    <w:p w14:paraId="5312E8F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（2）可以通过简单改造的各类小型积水坑，此类水体应填平；</w:t>
      </w:r>
    </w:p>
    <w:p w14:paraId="0082AA1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不可清除型</w:t>
      </w:r>
    </w:p>
    <w:p w14:paraId="7E9C195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（1）景观水体、假山水体、盆栽水体等，大型水体如假山、池塘等在内养鱼可以消除蚊幼，小型水体如花瓶、盆栽、小型蓄水池等定期刚换水即可。</w:t>
      </w:r>
    </w:p>
    <w:p w14:paraId="4F1EFED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（2）对无法养鱼，又不能清除、改造的水体，可以在内定期投放灭蚊幼缓释剂来灭杀蚊幼。</w:t>
      </w:r>
    </w:p>
    <w:p w14:paraId="2AB1685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cs="宋体"/>
          <w:sz w:val="28"/>
          <w:szCs w:val="28"/>
          <w:lang w:eastAsia="zh-CN"/>
        </w:rPr>
      </w:pPr>
    </w:p>
    <w:p w14:paraId="36250D4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/>
          <w:bCs/>
          <w:sz w:val="28"/>
          <w:szCs w:val="28"/>
          <w:lang w:eastAsia="zh-CN"/>
        </w:rPr>
      </w:pPr>
      <w:bookmarkStart w:id="26" w:name="_Toc18533"/>
      <w:r>
        <w:rPr>
          <w:rFonts w:hint="eastAsia"/>
          <w:b/>
          <w:bCs/>
          <w:sz w:val="28"/>
          <w:szCs w:val="28"/>
          <w:lang w:eastAsia="zh-CN"/>
        </w:rPr>
        <w:t>四、绿化带</w:t>
      </w:r>
      <w:bookmarkEnd w:id="26"/>
    </w:p>
    <w:p w14:paraId="15119F1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灭鼠</w:t>
      </w:r>
    </w:p>
    <w:p w14:paraId="637167A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（1）地毯式巡查，检查有无鼠洞，发现鼠洞后在内投放鼠药封堵，并标注、记录，两天后进行复查。</w:t>
      </w:r>
    </w:p>
    <w:p w14:paraId="6D68738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（2）如老鼠多时，可在隐蔽区域投放捕鼠笼、鼠夹（原则上减少使用频率），并在投放点进行明显警示标识，投放1天后进行回收，计算鼠密度，根据鼠密度进行判断是否进行二次捕杀。</w:t>
      </w:r>
    </w:p>
    <w:p w14:paraId="321A0A2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灭蚊蝇</w:t>
      </w:r>
    </w:p>
    <w:p w14:paraId="4E10A60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（1）指导清除各类无用积水（低洼水坑，废弃容器、各种瓶罐），对有用的容器积水（花瓶、花盆托盘、小型盆栽等），应进行定期更换，避免孳生蚊子；</w:t>
      </w:r>
    </w:p>
    <w:p w14:paraId="1C89DD7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（2）清除绿化带内被丢弃的垃圾，水果、食物等，人员经常出没区域，应设置垃圾桶；</w:t>
      </w:r>
    </w:p>
    <w:p w14:paraId="75F1D07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（3）对绿化、垃圾收集点等进行滞留喷洒灭蚊蝇。</w:t>
      </w:r>
    </w:p>
    <w:p w14:paraId="0921BF0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cs="宋体"/>
          <w:sz w:val="28"/>
          <w:szCs w:val="28"/>
          <w:lang w:eastAsia="zh-CN"/>
        </w:rPr>
      </w:pPr>
    </w:p>
    <w:p w14:paraId="7029232E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8"/>
          <w:szCs w:val="28"/>
          <w:lang w:eastAsia="zh-CN"/>
        </w:rPr>
      </w:pPr>
      <w:bookmarkStart w:id="27" w:name="_Toc4341"/>
      <w:r>
        <w:rPr>
          <w:rFonts w:hint="eastAsia"/>
          <w:sz w:val="28"/>
          <w:szCs w:val="28"/>
          <w:lang w:eastAsia="zh-CN"/>
        </w:rPr>
        <w:t>五、配电室</w:t>
      </w:r>
      <w:bookmarkEnd w:id="27"/>
    </w:p>
    <w:p w14:paraId="600DFB4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防制方法（灭鼠）：</w:t>
      </w:r>
    </w:p>
    <w:p w14:paraId="3F3A63B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（1）封堵老鼠进入内部的通道，如门底部过大缝隙、管线孔洞过大的缝隙等；</w:t>
      </w:r>
    </w:p>
    <w:p w14:paraId="7C479BE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（2）如环境特殊无法封堵，在内部设置监测站、捕鼠笼等物理设施进行灭鼠。</w:t>
      </w:r>
    </w:p>
    <w:p w14:paraId="17896E5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cs="宋体"/>
          <w:sz w:val="28"/>
          <w:szCs w:val="28"/>
          <w:lang w:eastAsia="zh-CN"/>
        </w:rPr>
      </w:pPr>
    </w:p>
    <w:p w14:paraId="41B66F79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8"/>
          <w:szCs w:val="28"/>
          <w:lang w:eastAsia="zh-CN"/>
        </w:rPr>
      </w:pPr>
      <w:bookmarkStart w:id="28" w:name="_Toc29057"/>
      <w:r>
        <w:rPr>
          <w:rFonts w:hint="eastAsia"/>
          <w:sz w:val="28"/>
          <w:szCs w:val="28"/>
          <w:lang w:eastAsia="zh-CN"/>
        </w:rPr>
        <w:t>六、办公楼等建筑</w:t>
      </w:r>
      <w:bookmarkEnd w:id="28"/>
    </w:p>
    <w:p w14:paraId="0193C0F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防制方法：灭鼠</w:t>
      </w:r>
    </w:p>
    <w:p w14:paraId="75742AD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1、指导完善防鼠设施（无破损门、窗，地漏加盖，通风口加防鼠网，门缝小于0.6cm等），消除老鼠进入到建筑内部的通道；  </w:t>
      </w:r>
    </w:p>
    <w:p w14:paraId="60E8F97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2、指导清除室内各类型的老鼠栖息地（主要为杂物间、库房等）；</w:t>
      </w:r>
    </w:p>
    <w:p w14:paraId="2FE76A5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3、外环境布放毒饵站，内环境安全通道、配电室布放监测站灭鼠；</w:t>
      </w:r>
    </w:p>
    <w:p w14:paraId="2CBB0BE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4、投放相关设施的地方应隐蔽，并且张贴明显的安全警示牌。</w:t>
      </w:r>
    </w:p>
    <w:p w14:paraId="339E7F1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防制方法：灭蟑</w:t>
      </w:r>
    </w:p>
    <w:p w14:paraId="1C885A3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1、指导清除室内各个死角卫生，摸缝堵洞，清除蟑迹；</w:t>
      </w:r>
    </w:p>
    <w:p w14:paraId="4FF2EFB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2、封堵无用的地漏、下水道口，对有用的地漏、下水道口更换网眼较小的盖子；</w:t>
      </w:r>
    </w:p>
    <w:p w14:paraId="397EF57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3、在各个区域查找蟑螂，发现蟑迹的区域，检查有无卵鞘，发现并清除；</w:t>
      </w:r>
    </w:p>
    <w:p w14:paraId="236C830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4、有蟑螂活体的区域进行滞留喷洒，投放蟑螂颗粒、胶饵；</w:t>
      </w:r>
    </w:p>
    <w:p w14:paraId="4578B40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5、外环境对下水道进行热烟雾杀蟑；</w:t>
      </w:r>
    </w:p>
    <w:p w14:paraId="37539B7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防制方法：灭蚊蝇</w:t>
      </w:r>
    </w:p>
    <w:p w14:paraId="04375A8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1、指导完善防蚊、防蝇设施，常开的窗户应有纱窗，且纱窗完好无破损；</w:t>
      </w:r>
    </w:p>
    <w:p w14:paraId="241C9D7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2、指导清除各类无用型积水，对有用的容器积水（花瓶、花盆托盘、小型盆栽等），应进行定期更换，避免孳生蚊子；</w:t>
      </w:r>
    </w:p>
    <w:p w14:paraId="065B2B2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3、规范使用垃圾桶（应使用加盖垃圾桶并保持常闭），垃圾应日产日清；</w:t>
      </w:r>
    </w:p>
    <w:p w14:paraId="6B040C4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4、外环境允许的区域（绿化、墙体、垃圾收集点等）进行滞留喷洒灭蚊蝇，下水道进行热烟雾灭蚊蝇；</w:t>
      </w:r>
    </w:p>
    <w:p w14:paraId="400FD9D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</w:p>
    <w:p w14:paraId="4C22A51B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8"/>
          <w:szCs w:val="28"/>
          <w:lang w:eastAsia="zh-CN"/>
        </w:rPr>
      </w:pPr>
      <w:bookmarkStart w:id="29" w:name="_Toc31830"/>
      <w:r>
        <w:rPr>
          <w:rFonts w:hint="eastAsia"/>
          <w:sz w:val="28"/>
          <w:szCs w:val="28"/>
          <w:lang w:eastAsia="zh-CN"/>
        </w:rPr>
        <w:t>七、食堂、餐厅</w:t>
      </w:r>
      <w:bookmarkEnd w:id="29"/>
    </w:p>
    <w:p w14:paraId="43B8790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防制方法：灭鼠</w:t>
      </w:r>
    </w:p>
    <w:p w14:paraId="57F3C30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1、指导食堂完善防鼠设施（无破损门、窗，地漏加盖，通风口加防鼠网，门缝小于0.6cm等），消除老鼠进入到建筑内部的通道；</w:t>
      </w:r>
    </w:p>
    <w:p w14:paraId="5FB19CF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2、指导食堂清除室内各类型的老鼠栖息地；</w:t>
      </w:r>
    </w:p>
    <w:p w14:paraId="6318B8E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3、各出入口、老鼠鼠道布放监测站灭鼠；</w:t>
      </w:r>
    </w:p>
    <w:p w14:paraId="7E0D6EB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4、检查食堂内陈旧鼠迹，查找老鼠活动频繁区域，投放鼠笼、魔术毯等物理灭鼠设施；</w:t>
      </w:r>
    </w:p>
    <w:p w14:paraId="1C8FE05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5、投放相关设施的地方应隐蔽，并且张贴明显的安全警示牌。</w:t>
      </w:r>
    </w:p>
    <w:p w14:paraId="6D9B8A4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防制方法：灭蟑</w:t>
      </w:r>
    </w:p>
    <w:p w14:paraId="09369B5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1、指导食堂清除室内各个死角卫生，摸缝堵洞，清除蟑迹；</w:t>
      </w:r>
    </w:p>
    <w:p w14:paraId="2C93880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2、指导食堂封堵无用的地漏、下水道口，对有用的地漏、下水道口更换网眼较小的盖子；</w:t>
      </w:r>
    </w:p>
    <w:p w14:paraId="015DFBA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3、在各个区域查找蟑螂，发现蟑迹的区域，检查有无卵鞘，发现并清除；</w:t>
      </w:r>
    </w:p>
    <w:p w14:paraId="1AA6EC9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4、在有蟑螂活体出没的区域进行滞留喷洒，并投放蟑螂颗粒、胶饵、蟑螂屋，对投放药物区域应与食堂进行严格的对接，并记录、张贴标记标识；</w:t>
      </w:r>
    </w:p>
    <w:p w14:paraId="16861EA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5、外环境对下水道进行热烟雾杀蟑；</w:t>
      </w:r>
    </w:p>
    <w:p w14:paraId="3F51FAA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6、在药物投放2-3天后，提醒单位对蟑螂尸体进行清除。</w:t>
      </w:r>
    </w:p>
    <w:p w14:paraId="6E8109D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防制方法：灭蚊蝇</w:t>
      </w:r>
    </w:p>
    <w:p w14:paraId="5D95D11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1、指导食堂完善防蚊、防蝇设施，常开的窗户应有纱窗，且纱窗完好无破损；</w:t>
      </w:r>
    </w:p>
    <w:p w14:paraId="238027F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2、食堂门口、出入通道等应有防蝇、防蚊帘子或风幕机，且该设施应保持使用状态；</w:t>
      </w:r>
    </w:p>
    <w:p w14:paraId="1E02A07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3、食堂内相关区域应有灭虫灯；</w:t>
      </w:r>
    </w:p>
    <w:p w14:paraId="606BC94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4、指导食堂清除各类无用型积水，对有用的容器积水（花瓶、花盆托盘、小型盆栽等），应进行定期更换，避免孳生蚊子；</w:t>
      </w:r>
    </w:p>
    <w:p w14:paraId="145A7E4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5、指导食堂规范使用垃圾桶（应使用加盖垃圾桶并保持常闭），泔水桶（应使用加盖垃圾桶并保持常闭），垃圾、泔水应日产日清；清除操作间内食物残渣等；</w:t>
      </w:r>
    </w:p>
    <w:p w14:paraId="61BBCFC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6、在食堂外环境允许的区域（绿化、墙体、垃圾收集点等）进行滞留喷洒灭蚊蝇，下水道进行热烟雾灭蚊蝇；内部使用灭蚊蝇条、灭蚊蝇板、灭蚊蝇电拍等进行物理灭杀。</w:t>
      </w:r>
    </w:p>
    <w:p w14:paraId="4E4F5BCA">
      <w:pPr>
        <w:pStyle w:val="1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2"/>
          <w:lang w:eastAsia="zh-CN"/>
        </w:rPr>
      </w:pPr>
    </w:p>
    <w:p w14:paraId="71993C8A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lang w:val="en-US" w:eastAsia="zh-CN"/>
        </w:rPr>
      </w:pPr>
      <w:bookmarkStart w:id="30" w:name="_Toc5356"/>
      <w:bookmarkStart w:id="31" w:name="_Toc1243"/>
      <w:r>
        <w:rPr>
          <w:rFonts w:hint="eastAsia"/>
          <w:lang w:val="en-US" w:eastAsia="zh-CN"/>
        </w:rPr>
        <w:t>第四章 防蛇驱蛇方案</w:t>
      </w:r>
      <w:bookmarkEnd w:id="30"/>
      <w:bookmarkEnd w:id="31"/>
    </w:p>
    <w:p w14:paraId="0187DB85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libri" w:hAnsi="宋体" w:eastAsia="宋体" w:cs="宋体"/>
          <w:sz w:val="28"/>
          <w:szCs w:val="28"/>
        </w:rPr>
      </w:pPr>
      <w:bookmarkStart w:id="32" w:name="_Toc2026"/>
      <w:bookmarkStart w:id="33" w:name="_Toc9454"/>
      <w:r>
        <w:rPr>
          <w:rFonts w:hint="eastAsia"/>
          <w:lang w:val="en-US" w:eastAsia="zh-CN"/>
        </w:rPr>
        <w:t>一、项目地背景</w:t>
      </w:r>
      <w:bookmarkEnd w:id="32"/>
      <w:bookmarkEnd w:id="33"/>
    </w:p>
    <w:p w14:paraId="4315507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360" w:lineRule="auto"/>
        <w:ind w:left="0" w:leftChars="0" w:right="0" w:rightChars="0" w:firstLine="560" w:firstLineChars="200"/>
        <w:textAlignment w:val="auto"/>
        <w:rPr>
          <w:rFonts w:hint="eastAsia" w:ascii="Calibri" w:hAnsi="宋体" w:eastAsia="宋体" w:cs="宋体"/>
          <w:sz w:val="28"/>
          <w:szCs w:val="28"/>
          <w:lang w:eastAsia="zh-CN"/>
        </w:rPr>
      </w:pPr>
      <w:r>
        <w:rPr>
          <w:rFonts w:hint="eastAsia" w:ascii="Calibri" w:hAnsi="宋体" w:eastAsia="宋体" w:cs="宋体"/>
          <w:sz w:val="28"/>
          <w:szCs w:val="28"/>
          <w:lang w:eastAsia="zh-CN"/>
        </w:rPr>
        <w:t>学院地处昆明市呈贡区万峰街，校区内包含大面积绿化植被区域，四周分布有山林、农庄，植被覆盖度较高，整体生态环境较好，为蛇类活动提供了适宜的潜在栖息空间；校区内建筑分布错落，存在水体以及植被茂密的绿化带、田地，符合蛇类觅食、藏匿的活动特征，存在蛇类进入校园活动、侵扰师生正常学习生活的可能性，因此需针对性开展防蛇驱蛇</w:t>
      </w:r>
      <w:r>
        <w:rPr>
          <w:rFonts w:hint="eastAsia" w:ascii="Calibri" w:hAnsi="宋体" w:cs="宋体"/>
          <w:sz w:val="28"/>
          <w:szCs w:val="28"/>
          <w:lang w:eastAsia="zh-CN"/>
        </w:rPr>
        <w:t>防治</w:t>
      </w:r>
      <w:r>
        <w:rPr>
          <w:rFonts w:hint="eastAsia" w:ascii="Calibri" w:hAnsi="宋体" w:eastAsia="宋体" w:cs="宋体"/>
          <w:sz w:val="28"/>
          <w:szCs w:val="28"/>
          <w:lang w:eastAsia="zh-CN"/>
        </w:rPr>
        <w:t>相关工作。</w:t>
      </w:r>
    </w:p>
    <w:p w14:paraId="083CF1DB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eastAsia="zh-CN"/>
        </w:rPr>
      </w:pPr>
      <w:bookmarkStart w:id="34" w:name="_Toc15211"/>
      <w:bookmarkStart w:id="35" w:name="_Toc30272"/>
      <w:r>
        <w:rPr>
          <w:rFonts w:hint="eastAsia"/>
          <w:lang w:eastAsia="zh-CN"/>
        </w:rPr>
        <w:t>二、</w:t>
      </w:r>
      <w:bookmarkEnd w:id="34"/>
      <w:bookmarkEnd w:id="35"/>
      <w:r>
        <w:rPr>
          <w:rFonts w:hint="eastAsia"/>
          <w:lang w:eastAsia="zh-CN"/>
        </w:rPr>
        <w:t>防治目标及措施</w:t>
      </w:r>
    </w:p>
    <w:p w14:paraId="2F77948E">
      <w:pPr>
        <w:pStyle w:val="28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default" w:ascii="Calibri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1、构建“预防为主、快速处置”的防蛇体系，将蛇类入侵学校核心区域的概率降至最低化学</w:t>
      </w:r>
      <w:r>
        <w:rPr>
          <w:rFonts w:hint="eastAsia" w:ascii="宋体" w:hAnsi="宋体" w:cs="宋体"/>
          <w:sz w:val="28"/>
          <w:szCs w:val="28"/>
          <w:lang w:eastAsia="zh-CN"/>
        </w:rPr>
        <w:t>防蛇</w:t>
      </w:r>
      <w:r>
        <w:rPr>
          <w:rFonts w:hint="eastAsia" w:ascii="宋体" w:hAnsi="宋体" w:eastAsia="宋体" w:cs="宋体"/>
          <w:sz w:val="28"/>
          <w:szCs w:val="28"/>
        </w:rPr>
        <w:t>驱蛇措施</w:t>
      </w:r>
      <w:r>
        <w:rPr>
          <w:rFonts w:hint="eastAsia" w:ascii="宋体" w:hAnsi="宋体" w:cs="宋体"/>
          <w:sz w:val="28"/>
          <w:szCs w:val="28"/>
          <w:lang w:eastAsia="zh-CN"/>
        </w:rPr>
        <w:t>，</w:t>
      </w:r>
      <w:r>
        <w:rPr>
          <w:rFonts w:hint="default" w:ascii="Calibri" w:hAnsi="宋体" w:eastAsia="宋体" w:cs="宋体"/>
          <w:sz w:val="28"/>
          <w:szCs w:val="28"/>
        </w:rPr>
        <w:t>选用安全环保药剂实现驱蛇效果：</w:t>
      </w:r>
    </w:p>
    <w:p w14:paraId="151837C0">
      <w:pPr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360" w:leftChars="0" w:right="0" w:rightChars="0"/>
        <w:textAlignment w:val="auto"/>
        <w:rPr>
          <w:rFonts w:hint="default" w:ascii="Calibri" w:hAnsi="宋体" w:eastAsia="宋体" w:cs="宋体"/>
          <w:sz w:val="28"/>
          <w:szCs w:val="28"/>
        </w:rPr>
      </w:pPr>
      <w:r>
        <w:rPr>
          <w:rFonts w:hint="default" w:ascii="Calibri" w:hAnsi="宋体" w:eastAsia="宋体" w:cs="宋体"/>
          <w:b/>
          <w:sz w:val="28"/>
          <w:szCs w:val="28"/>
        </w:rPr>
        <w:t>药剂选择</w:t>
      </w:r>
      <w:r>
        <w:rPr>
          <w:rFonts w:hint="default" w:ascii="Calibri" w:hAnsi="宋体" w:eastAsia="宋体" w:cs="宋体"/>
          <w:sz w:val="28"/>
          <w:szCs w:val="28"/>
        </w:rPr>
        <w:t>：选用经国家农化部门认证的硫黄驱蛇粉、萘丸驱蛇剂，优先选择对人体、环境无害的植物提取类驱蛇产品，禁用剧毒化学药剂。</w:t>
      </w:r>
    </w:p>
    <w:p w14:paraId="04F9A7AE">
      <w:pPr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360" w:leftChars="0" w:right="0" w:rightChars="0"/>
        <w:textAlignment w:val="auto"/>
        <w:rPr>
          <w:rFonts w:hint="default" w:ascii="Calibri" w:hAnsi="宋体" w:eastAsia="宋体" w:cs="宋体"/>
          <w:sz w:val="28"/>
          <w:szCs w:val="28"/>
        </w:rPr>
      </w:pPr>
      <w:r>
        <w:rPr>
          <w:rFonts w:hint="default" w:ascii="Calibri" w:hAnsi="宋体" w:eastAsia="宋体" w:cs="宋体"/>
          <w:b/>
          <w:sz w:val="28"/>
          <w:szCs w:val="28"/>
        </w:rPr>
        <w:t>施药范围与频率</w:t>
      </w:r>
      <w:r>
        <w:rPr>
          <w:rFonts w:hint="default" w:ascii="Calibri" w:hAnsi="宋体" w:eastAsia="宋体" w:cs="宋体"/>
          <w:sz w:val="28"/>
          <w:szCs w:val="28"/>
        </w:rPr>
        <w:t>：在</w:t>
      </w:r>
      <w:r>
        <w:rPr>
          <w:rFonts w:hint="eastAsia" w:ascii="Calibri" w:hAnsi="宋体" w:eastAsia="宋体" w:cs="宋体"/>
          <w:sz w:val="28"/>
          <w:szCs w:val="28"/>
          <w:lang w:eastAsia="zh-CN"/>
        </w:rPr>
        <w:t>蛇容易入侵的</w:t>
      </w:r>
      <w:r>
        <w:rPr>
          <w:rFonts w:hint="default" w:ascii="Calibri" w:hAnsi="宋体" w:eastAsia="宋体" w:cs="宋体"/>
          <w:sz w:val="28"/>
          <w:szCs w:val="28"/>
        </w:rPr>
        <w:t>区域，</w:t>
      </w:r>
      <w:r>
        <w:rPr>
          <w:rFonts w:hint="eastAsia" w:ascii="Calibri" w:hAnsi="宋体" w:eastAsia="宋体" w:cs="宋体"/>
          <w:sz w:val="28"/>
          <w:szCs w:val="28"/>
          <w:lang w:eastAsia="zh-CN"/>
        </w:rPr>
        <w:t>设置驱蛇点，</w:t>
      </w:r>
      <w:r>
        <w:rPr>
          <w:rFonts w:hint="default" w:ascii="Calibri" w:hAnsi="宋体" w:eastAsia="宋体" w:cs="宋体"/>
          <w:sz w:val="28"/>
          <w:szCs w:val="28"/>
        </w:rPr>
        <w:t>每</w:t>
      </w:r>
      <w:r>
        <w:rPr>
          <w:rFonts w:hint="eastAsia" w:ascii="Calibri" w:hAnsi="宋体" w:cs="宋体"/>
          <w:sz w:val="28"/>
          <w:szCs w:val="28"/>
          <w:lang w:val="en-US" w:eastAsia="zh-CN"/>
        </w:rPr>
        <w:t>15</w:t>
      </w:r>
      <w:r>
        <w:rPr>
          <w:rFonts w:hint="default" w:ascii="Calibri" w:hAnsi="宋体" w:eastAsia="宋体" w:cs="宋体"/>
          <w:sz w:val="28"/>
          <w:szCs w:val="28"/>
        </w:rPr>
        <w:t>天</w:t>
      </w:r>
      <w:r>
        <w:rPr>
          <w:rFonts w:hint="eastAsia" w:ascii="Calibri" w:hAnsi="宋体" w:eastAsia="宋体" w:cs="宋体"/>
          <w:sz w:val="28"/>
          <w:szCs w:val="28"/>
          <w:lang w:eastAsia="zh-CN"/>
        </w:rPr>
        <w:t>投放</w:t>
      </w:r>
      <w:r>
        <w:rPr>
          <w:rFonts w:hint="default" w:ascii="Calibri" w:hAnsi="宋体" w:eastAsia="宋体" w:cs="宋体"/>
          <w:sz w:val="28"/>
          <w:szCs w:val="28"/>
        </w:rPr>
        <w:t>一</w:t>
      </w:r>
      <w:r>
        <w:rPr>
          <w:rFonts w:hint="eastAsia" w:ascii="Calibri" w:hAnsi="宋体" w:eastAsia="宋体" w:cs="宋体"/>
          <w:sz w:val="28"/>
          <w:szCs w:val="28"/>
          <w:lang w:eastAsia="zh-CN"/>
        </w:rPr>
        <w:t>次</w:t>
      </w:r>
      <w:r>
        <w:rPr>
          <w:rFonts w:hint="default" w:ascii="Calibri" w:hAnsi="宋体" w:eastAsia="宋体" w:cs="宋体"/>
          <w:sz w:val="28"/>
          <w:szCs w:val="28"/>
        </w:rPr>
        <w:t>驱蛇粉。</w:t>
      </w:r>
    </w:p>
    <w:p w14:paraId="6FF6C0BF">
      <w:pPr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360" w:leftChars="0" w:right="0" w:rightChars="0"/>
        <w:textAlignment w:val="auto"/>
        <w:rPr>
          <w:rFonts w:hint="eastAsia"/>
          <w:lang w:val="en-US" w:eastAsia="zh-CN"/>
        </w:rPr>
      </w:pPr>
      <w:r>
        <w:rPr>
          <w:rFonts w:hint="default" w:ascii="Calibri" w:hAnsi="宋体" w:eastAsia="宋体" w:cs="宋体"/>
          <w:b/>
          <w:sz w:val="28"/>
          <w:szCs w:val="28"/>
        </w:rPr>
        <w:t>安全注意事项</w:t>
      </w:r>
      <w:r>
        <w:rPr>
          <w:rFonts w:hint="default" w:ascii="Calibri" w:hAnsi="宋体" w:eastAsia="宋体" w:cs="宋体"/>
          <w:sz w:val="28"/>
          <w:szCs w:val="28"/>
        </w:rPr>
        <w:t>：施药人员佩戴加厚手套、口罩；避免药剂接触食物、水源。</w:t>
      </w:r>
    </w:p>
    <w:sectPr>
      <w:footerReference r:id="rId6" w:type="first"/>
      <w:footerReference r:id="rId5" w:type="default"/>
      <w:pgSz w:w="11906" w:h="16838"/>
      <w:pgMar w:top="1417" w:right="1417" w:bottom="1417" w:left="1701" w:header="567" w:footer="425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0" w:num="1"/>
      <w:titlePg/>
      <w:rtlGutter w:val="0"/>
      <w:docGrid w:type="lines" w:linePitch="38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4D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EFFF0A">
    <w:pPr>
      <w:pStyle w:val="1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FE8FC4">
    <w:pPr>
      <w:pStyle w:val="1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2CAC1E">
    <w:pPr>
      <w:pStyle w:val="1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573153">
                          <w:pPr>
                            <w:pStyle w:val="1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2573153">
                    <w:pPr>
                      <w:pStyle w:val="1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99CAE8">
    <w:pPr>
      <w:pStyle w:val="1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C4C915">
                          <w:pPr>
                            <w:pStyle w:val="1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DC4C915">
                    <w:pPr>
                      <w:pStyle w:val="1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9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3NDYyZTllNjU2MzJhODMxZDczNjIxMjFhYmNmZjAifQ=="/>
  </w:docVars>
  <w:rsids>
    <w:rsidRoot w:val="404642F1"/>
    <w:rsid w:val="00295822"/>
    <w:rsid w:val="01080A12"/>
    <w:rsid w:val="022E6BAA"/>
    <w:rsid w:val="02497534"/>
    <w:rsid w:val="02963DFC"/>
    <w:rsid w:val="02B67052"/>
    <w:rsid w:val="03140DA8"/>
    <w:rsid w:val="038871AF"/>
    <w:rsid w:val="03B26109"/>
    <w:rsid w:val="03F54B31"/>
    <w:rsid w:val="04716111"/>
    <w:rsid w:val="047A5783"/>
    <w:rsid w:val="05A16519"/>
    <w:rsid w:val="068D55E3"/>
    <w:rsid w:val="06A64F55"/>
    <w:rsid w:val="06C67623"/>
    <w:rsid w:val="06CB7B3A"/>
    <w:rsid w:val="07562E54"/>
    <w:rsid w:val="07846919"/>
    <w:rsid w:val="08A659B6"/>
    <w:rsid w:val="09AD65C8"/>
    <w:rsid w:val="09FC6C3A"/>
    <w:rsid w:val="0A3348BC"/>
    <w:rsid w:val="0ADB7CC1"/>
    <w:rsid w:val="0ADF27E4"/>
    <w:rsid w:val="0BBE4AEF"/>
    <w:rsid w:val="0C225434"/>
    <w:rsid w:val="0CB031E6"/>
    <w:rsid w:val="0D011A78"/>
    <w:rsid w:val="0DA41AC3"/>
    <w:rsid w:val="0FD159E1"/>
    <w:rsid w:val="103605F8"/>
    <w:rsid w:val="108160EB"/>
    <w:rsid w:val="11990B15"/>
    <w:rsid w:val="11A402E3"/>
    <w:rsid w:val="13E96481"/>
    <w:rsid w:val="149E19EB"/>
    <w:rsid w:val="153075C0"/>
    <w:rsid w:val="15AA4179"/>
    <w:rsid w:val="15C56A7A"/>
    <w:rsid w:val="16005D04"/>
    <w:rsid w:val="164E2F48"/>
    <w:rsid w:val="16A14DF1"/>
    <w:rsid w:val="16BE1E47"/>
    <w:rsid w:val="17A506D4"/>
    <w:rsid w:val="17F92A0B"/>
    <w:rsid w:val="1890511D"/>
    <w:rsid w:val="18CE3EA8"/>
    <w:rsid w:val="19B2356A"/>
    <w:rsid w:val="1A1A2999"/>
    <w:rsid w:val="1A301C70"/>
    <w:rsid w:val="1DA376A1"/>
    <w:rsid w:val="1E0C2143"/>
    <w:rsid w:val="1F1C7ECB"/>
    <w:rsid w:val="1F882FF2"/>
    <w:rsid w:val="233567DE"/>
    <w:rsid w:val="24171FEE"/>
    <w:rsid w:val="2498716A"/>
    <w:rsid w:val="264439EB"/>
    <w:rsid w:val="265005E2"/>
    <w:rsid w:val="268A58A2"/>
    <w:rsid w:val="27866B0B"/>
    <w:rsid w:val="27A761C4"/>
    <w:rsid w:val="27C546B8"/>
    <w:rsid w:val="28F85A12"/>
    <w:rsid w:val="29062D64"/>
    <w:rsid w:val="29670CC2"/>
    <w:rsid w:val="29E06B7A"/>
    <w:rsid w:val="2A554419"/>
    <w:rsid w:val="2ABF6E27"/>
    <w:rsid w:val="2AE851A5"/>
    <w:rsid w:val="2B5C0C33"/>
    <w:rsid w:val="2DA90D03"/>
    <w:rsid w:val="2DCF1F8A"/>
    <w:rsid w:val="2FC11C09"/>
    <w:rsid w:val="2FD473BA"/>
    <w:rsid w:val="2FE865F5"/>
    <w:rsid w:val="32892EB1"/>
    <w:rsid w:val="32EF2BAF"/>
    <w:rsid w:val="33177041"/>
    <w:rsid w:val="33466FF4"/>
    <w:rsid w:val="338B0EAB"/>
    <w:rsid w:val="33B07817"/>
    <w:rsid w:val="34851C3D"/>
    <w:rsid w:val="34BD65D5"/>
    <w:rsid w:val="34C45C47"/>
    <w:rsid w:val="359B17DC"/>
    <w:rsid w:val="3673665B"/>
    <w:rsid w:val="36B53473"/>
    <w:rsid w:val="390E1EFF"/>
    <w:rsid w:val="3CF133DA"/>
    <w:rsid w:val="3DEE5D5E"/>
    <w:rsid w:val="3E8A4CB6"/>
    <w:rsid w:val="404642F1"/>
    <w:rsid w:val="414436F3"/>
    <w:rsid w:val="430471EB"/>
    <w:rsid w:val="43313982"/>
    <w:rsid w:val="43845EFD"/>
    <w:rsid w:val="43E26BE3"/>
    <w:rsid w:val="43FF141B"/>
    <w:rsid w:val="44F7014F"/>
    <w:rsid w:val="455235D7"/>
    <w:rsid w:val="45725A27"/>
    <w:rsid w:val="46441A2F"/>
    <w:rsid w:val="4698326B"/>
    <w:rsid w:val="48DA5DBD"/>
    <w:rsid w:val="491E59C7"/>
    <w:rsid w:val="49DC3DB7"/>
    <w:rsid w:val="4A5D355D"/>
    <w:rsid w:val="4BAC739C"/>
    <w:rsid w:val="4C883171"/>
    <w:rsid w:val="4CC62FC5"/>
    <w:rsid w:val="4D2465F3"/>
    <w:rsid w:val="4DF7425A"/>
    <w:rsid w:val="4E9050A9"/>
    <w:rsid w:val="4F644633"/>
    <w:rsid w:val="4F7D56F4"/>
    <w:rsid w:val="4F8627FB"/>
    <w:rsid w:val="500D0826"/>
    <w:rsid w:val="502C0119"/>
    <w:rsid w:val="510A120A"/>
    <w:rsid w:val="513C2D90"/>
    <w:rsid w:val="515002BD"/>
    <w:rsid w:val="51D4542E"/>
    <w:rsid w:val="52433E2E"/>
    <w:rsid w:val="53312A7E"/>
    <w:rsid w:val="536C70DF"/>
    <w:rsid w:val="541A6565"/>
    <w:rsid w:val="54C53DC5"/>
    <w:rsid w:val="54E71873"/>
    <w:rsid w:val="56933A4F"/>
    <w:rsid w:val="56FC15F5"/>
    <w:rsid w:val="579B0009"/>
    <w:rsid w:val="587A0A23"/>
    <w:rsid w:val="58DC2576"/>
    <w:rsid w:val="5902393A"/>
    <w:rsid w:val="5ACB530D"/>
    <w:rsid w:val="5BC070FA"/>
    <w:rsid w:val="5BC530A4"/>
    <w:rsid w:val="5C0A6562"/>
    <w:rsid w:val="5C0C3E4F"/>
    <w:rsid w:val="5C4C3A6B"/>
    <w:rsid w:val="5C703DFB"/>
    <w:rsid w:val="5CA523A7"/>
    <w:rsid w:val="5CF47B40"/>
    <w:rsid w:val="5D243E34"/>
    <w:rsid w:val="5D276C9F"/>
    <w:rsid w:val="5D2E002E"/>
    <w:rsid w:val="5D4B5084"/>
    <w:rsid w:val="5DCA431C"/>
    <w:rsid w:val="5F176B0F"/>
    <w:rsid w:val="5F7F1051"/>
    <w:rsid w:val="5FE42207"/>
    <w:rsid w:val="60575AEE"/>
    <w:rsid w:val="60C2740B"/>
    <w:rsid w:val="61A00C33"/>
    <w:rsid w:val="61DD0292"/>
    <w:rsid w:val="624F7CF6"/>
    <w:rsid w:val="62A503C1"/>
    <w:rsid w:val="637A5D7B"/>
    <w:rsid w:val="6410048D"/>
    <w:rsid w:val="64124205"/>
    <w:rsid w:val="64216B3E"/>
    <w:rsid w:val="64267D3D"/>
    <w:rsid w:val="6473187F"/>
    <w:rsid w:val="65BD7787"/>
    <w:rsid w:val="66276FDE"/>
    <w:rsid w:val="66860EDB"/>
    <w:rsid w:val="67FC11EF"/>
    <w:rsid w:val="68642E49"/>
    <w:rsid w:val="68B04D61"/>
    <w:rsid w:val="68E00D76"/>
    <w:rsid w:val="690305C1"/>
    <w:rsid w:val="696F3EA8"/>
    <w:rsid w:val="6A0E4359"/>
    <w:rsid w:val="6BE9513F"/>
    <w:rsid w:val="6DB116BE"/>
    <w:rsid w:val="6E4A5809"/>
    <w:rsid w:val="6EC17E5A"/>
    <w:rsid w:val="6ED45F16"/>
    <w:rsid w:val="6F465B4E"/>
    <w:rsid w:val="6F63625D"/>
    <w:rsid w:val="6F9401C4"/>
    <w:rsid w:val="702D6CE5"/>
    <w:rsid w:val="711517D9"/>
    <w:rsid w:val="71834284"/>
    <w:rsid w:val="76E732D0"/>
    <w:rsid w:val="77FC0FFD"/>
    <w:rsid w:val="78FD79AE"/>
    <w:rsid w:val="79226841"/>
    <w:rsid w:val="79725A1A"/>
    <w:rsid w:val="79A067FE"/>
    <w:rsid w:val="79A61220"/>
    <w:rsid w:val="79A817DD"/>
    <w:rsid w:val="7ACB2368"/>
    <w:rsid w:val="7B1228E5"/>
    <w:rsid w:val="7B3B62E0"/>
    <w:rsid w:val="7C46471A"/>
    <w:rsid w:val="7D211BEA"/>
    <w:rsid w:val="7DBB60FF"/>
    <w:rsid w:val="7DFD787D"/>
    <w:rsid w:val="7E3C2153"/>
    <w:rsid w:val="7E9723D0"/>
    <w:rsid w:val="7F874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qFormat="1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9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paragraph" w:styleId="2">
    <w:name w:val="heading 1"/>
    <w:basedOn w:val="1"/>
    <w:next w:val="1"/>
    <w:link w:val="30"/>
    <w:qFormat/>
    <w:uiPriority w:val="0"/>
    <w:pPr>
      <w:keepNext/>
      <w:keepLines/>
      <w:spacing w:before="340" w:beforeLines="0" w:beforeAutospacing="0" w:after="330" w:afterLines="0" w:afterAutospacing="0" w:line="240" w:lineRule="auto"/>
      <w:jc w:val="center"/>
      <w:outlineLvl w:val="0"/>
    </w:pPr>
    <w:rPr>
      <w:rFonts w:ascii="Times New Roman" w:hAnsi="Times New Roman" w:eastAsia="宋体"/>
      <w:b/>
      <w:kern w:val="44"/>
      <w:sz w:val="36"/>
    </w:rPr>
  </w:style>
  <w:style w:type="paragraph" w:styleId="3">
    <w:name w:val="heading 2"/>
    <w:basedOn w:val="1"/>
    <w:next w:val="1"/>
    <w:link w:val="3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left"/>
      <w:outlineLvl w:val="1"/>
    </w:pPr>
    <w:rPr>
      <w:rFonts w:ascii="Arial" w:hAnsi="Arial" w:eastAsia="宋体"/>
      <w:b/>
      <w:color w:val="000000" w:themeColor="text1"/>
      <w:sz w:val="32"/>
      <w14:textFill>
        <w14:solidFill>
          <w14:schemeClr w14:val="tx1"/>
        </w14:solidFill>
      </w14:textFill>
    </w:rPr>
  </w:style>
  <w:style w:type="paragraph" w:styleId="4">
    <w:name w:val="heading 3"/>
    <w:basedOn w:val="3"/>
    <w:next w:val="1"/>
    <w:link w:val="38"/>
    <w:unhideWhenUsed/>
    <w:qFormat/>
    <w:uiPriority w:val="0"/>
    <w:pPr>
      <w:keepNext/>
      <w:keepLines/>
      <w:spacing w:before="260" w:beforeLines="0" w:beforeAutospacing="0" w:after="260" w:afterLines="0" w:afterAutospacing="0" w:line="240" w:lineRule="atLeast"/>
      <w:jc w:val="left"/>
      <w:outlineLvl w:val="2"/>
    </w:pPr>
    <w:rPr>
      <w:rFonts w:ascii="Times New Roman" w:hAnsi="Times New Roman" w:eastAsia="宋体"/>
      <w:sz w:val="30"/>
    </w:rPr>
  </w:style>
  <w:style w:type="paragraph" w:styleId="5">
    <w:name w:val="heading 4"/>
    <w:basedOn w:val="4"/>
    <w:next w:val="1"/>
    <w:link w:val="34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jc w:val="both"/>
      <w:outlineLvl w:val="3"/>
    </w:pPr>
    <w:rPr>
      <w:rFonts w:ascii="Arial" w:hAnsi="Arial" w:eastAsia="宋体"/>
      <w:sz w:val="28"/>
    </w:rPr>
  </w:style>
  <w:style w:type="paragraph" w:styleId="6">
    <w:name w:val="heading 5"/>
    <w:basedOn w:val="5"/>
    <w:next w:val="1"/>
    <w:link w:val="33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jc w:val="left"/>
      <w:outlineLvl w:val="4"/>
    </w:pPr>
    <w:rPr>
      <w:rFonts w:eastAsia="宋体"/>
    </w:rPr>
  </w:style>
  <w:style w:type="character" w:default="1" w:styleId="24">
    <w:name w:val="Default Paragraph Font"/>
    <w:semiHidden/>
    <w:qFormat/>
    <w:uiPriority w:val="0"/>
  </w:style>
  <w:style w:type="table" w:default="1" w:styleId="2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Normal Indent"/>
    <w:basedOn w:val="1"/>
    <w:next w:val="1"/>
    <w:qFormat/>
    <w:uiPriority w:val="0"/>
    <w:pPr>
      <w:widowControl/>
      <w:ind w:firstLine="420" w:firstLineChars="200"/>
      <w:jc w:val="left"/>
    </w:pPr>
    <w:rPr>
      <w:kern w:val="0"/>
      <w:sz w:val="20"/>
      <w:szCs w:val="20"/>
    </w:rPr>
  </w:style>
  <w:style w:type="paragraph" w:styleId="8">
    <w:name w:val="Body Text"/>
    <w:basedOn w:val="1"/>
    <w:next w:val="1"/>
    <w:qFormat/>
    <w:uiPriority w:val="0"/>
    <w:pPr>
      <w:spacing w:line="360" w:lineRule="auto"/>
    </w:pPr>
    <w:rPr>
      <w:rFonts w:ascii="Times New Roman" w:hAnsi="Times New Roman"/>
      <w:kern w:val="2"/>
      <w:sz w:val="21"/>
      <w:szCs w:val="24"/>
    </w:rPr>
  </w:style>
  <w:style w:type="paragraph" w:styleId="9">
    <w:name w:val="Body Text Indent"/>
    <w:basedOn w:val="1"/>
    <w:qFormat/>
    <w:uiPriority w:val="0"/>
    <w:pPr>
      <w:spacing w:after="120"/>
      <w:ind w:left="420" w:leftChars="200"/>
    </w:pPr>
    <w:rPr>
      <w:rFonts w:ascii="宋体"/>
      <w:color w:val="000000"/>
      <w:kern w:val="0"/>
      <w:szCs w:val="21"/>
    </w:rPr>
  </w:style>
  <w:style w:type="paragraph" w:styleId="10">
    <w:name w:val="Block Text"/>
    <w:basedOn w:val="1"/>
    <w:unhideWhenUsed/>
    <w:qFormat/>
    <w:uiPriority w:val="99"/>
    <w:pPr>
      <w:spacing w:after="120"/>
      <w:ind w:left="1440" w:leftChars="700" w:right="700" w:rightChars="700"/>
    </w:pPr>
    <w:rPr>
      <w:rFonts w:ascii="Calibri" w:hAnsi="Calibri" w:eastAsia="宋体" w:cs="Times New Roman"/>
      <w:sz w:val="21"/>
      <w:szCs w:val="24"/>
    </w:rPr>
  </w:style>
  <w:style w:type="paragraph" w:styleId="11">
    <w:name w:val="toc 5"/>
    <w:basedOn w:val="1"/>
    <w:next w:val="1"/>
    <w:unhideWhenUsed/>
    <w:qFormat/>
    <w:uiPriority w:val="39"/>
    <w:pPr>
      <w:ind w:left="840"/>
    </w:pPr>
    <w:rPr>
      <w:rFonts w:ascii="Calibri" w:hAnsi="Calibri" w:cs="Calibri"/>
      <w:sz w:val="18"/>
      <w:szCs w:val="18"/>
    </w:rPr>
  </w:style>
  <w:style w:type="paragraph" w:styleId="12">
    <w:name w:val="toc 3"/>
    <w:basedOn w:val="1"/>
    <w:next w:val="1"/>
    <w:qFormat/>
    <w:uiPriority w:val="0"/>
    <w:pPr>
      <w:ind w:left="840" w:leftChars="400"/>
    </w:pPr>
  </w:style>
  <w:style w:type="paragraph" w:styleId="13">
    <w:name w:val="Plain Text"/>
    <w:basedOn w:val="1"/>
    <w:next w:val="1"/>
    <w:qFormat/>
    <w:uiPriority w:val="99"/>
    <w:rPr>
      <w:rFonts w:ascii="宋体" w:hAnsi="Courier New" w:eastAsia="等线"/>
      <w:kern w:val="0"/>
      <w:szCs w:val="21"/>
    </w:rPr>
  </w:style>
  <w:style w:type="paragraph" w:styleId="14">
    <w:name w:val="footer"/>
    <w:basedOn w:val="1"/>
    <w:qFormat/>
    <w:uiPriority w:val="99"/>
    <w:pPr>
      <w:widowControl/>
      <w:tabs>
        <w:tab w:val="center" w:pos="4153"/>
        <w:tab w:val="right" w:pos="8306"/>
      </w:tabs>
      <w:snapToGrid w:val="0"/>
      <w:jc w:val="left"/>
    </w:pPr>
    <w:rPr>
      <w:rFonts w:ascii="等线" w:hAnsi="等线" w:eastAsia="等线"/>
      <w:kern w:val="0"/>
      <w:sz w:val="18"/>
      <w:szCs w:val="20"/>
    </w:rPr>
  </w:style>
  <w:style w:type="paragraph" w:styleId="1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6">
    <w:name w:val="toc 1"/>
    <w:basedOn w:val="1"/>
    <w:next w:val="1"/>
    <w:qFormat/>
    <w:uiPriority w:val="0"/>
  </w:style>
  <w:style w:type="paragraph" w:styleId="17">
    <w:name w:val="toc 2"/>
    <w:basedOn w:val="1"/>
    <w:next w:val="1"/>
    <w:qFormat/>
    <w:uiPriority w:val="0"/>
    <w:pPr>
      <w:ind w:left="420" w:leftChars="200"/>
    </w:pPr>
  </w:style>
  <w:style w:type="paragraph" w:styleId="18">
    <w:name w:val="HTML Preformatted"/>
    <w:basedOn w:val="1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styleId="20">
    <w:name w:val="Title"/>
    <w:basedOn w:val="1"/>
    <w:next w:val="1"/>
    <w:link w:val="32"/>
    <w:qFormat/>
    <w:uiPriority w:val="0"/>
    <w:pPr>
      <w:spacing w:before="240" w:after="60"/>
      <w:jc w:val="center"/>
      <w:outlineLvl w:val="0"/>
    </w:pPr>
    <w:rPr>
      <w:rFonts w:ascii="Cambria" w:hAnsi="Cambria" w:eastAsia="等线"/>
      <w:b/>
      <w:bCs/>
      <w:kern w:val="0"/>
      <w:sz w:val="32"/>
      <w:szCs w:val="32"/>
    </w:rPr>
  </w:style>
  <w:style w:type="paragraph" w:styleId="21">
    <w:name w:val="Body Text First Indent 2"/>
    <w:basedOn w:val="9"/>
    <w:qFormat/>
    <w:uiPriority w:val="0"/>
    <w:pPr>
      <w:widowControl/>
      <w:ind w:firstLine="420" w:firstLineChars="200"/>
      <w:jc w:val="left"/>
    </w:pPr>
    <w:rPr>
      <w:rFonts w:ascii="Times New Roman"/>
      <w:color w:val="auto"/>
      <w:sz w:val="20"/>
      <w:szCs w:val="20"/>
    </w:rPr>
  </w:style>
  <w:style w:type="table" w:styleId="23">
    <w:name w:val="Table Grid"/>
    <w:basedOn w:val="2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5">
    <w:name w:val="Strong"/>
    <w:basedOn w:val="24"/>
    <w:qFormat/>
    <w:uiPriority w:val="0"/>
    <w:rPr>
      <w:b/>
    </w:rPr>
  </w:style>
  <w:style w:type="character" w:styleId="26">
    <w:name w:val="page number"/>
    <w:qFormat/>
    <w:uiPriority w:val="0"/>
  </w:style>
  <w:style w:type="character" w:styleId="27">
    <w:name w:val="Hyperlink"/>
    <w:basedOn w:val="24"/>
    <w:qFormat/>
    <w:uiPriority w:val="0"/>
    <w:rPr>
      <w:color w:val="0000FF"/>
      <w:u w:val="single"/>
    </w:rPr>
  </w:style>
  <w:style w:type="paragraph" w:customStyle="1" w:styleId="28">
    <w:name w:val="首行缩进"/>
    <w:basedOn w:val="1"/>
    <w:qFormat/>
    <w:uiPriority w:val="0"/>
    <w:pPr>
      <w:ind w:firstLine="480" w:firstLineChars="200"/>
    </w:pPr>
    <w:rPr>
      <w:lang w:val="zh-CN"/>
    </w:rPr>
  </w:style>
  <w:style w:type="character" w:customStyle="1" w:styleId="29">
    <w:name w:val="17"/>
    <w:basedOn w:val="24"/>
    <w:qFormat/>
    <w:uiPriority w:val="0"/>
    <w:rPr>
      <w:rFonts w:hint="default" w:ascii="Times New Roman" w:hAnsi="Times New Roman" w:cs="Times New Roman"/>
    </w:rPr>
  </w:style>
  <w:style w:type="character" w:customStyle="1" w:styleId="30">
    <w:name w:val="标题 1 Char"/>
    <w:link w:val="2"/>
    <w:qFormat/>
    <w:uiPriority w:val="0"/>
    <w:rPr>
      <w:rFonts w:ascii="Times New Roman" w:hAnsi="Times New Roman" w:eastAsia="宋体"/>
      <w:b/>
      <w:kern w:val="44"/>
      <w:sz w:val="36"/>
    </w:rPr>
  </w:style>
  <w:style w:type="character" w:customStyle="1" w:styleId="31">
    <w:name w:val="标题 2 Char"/>
    <w:link w:val="3"/>
    <w:qFormat/>
    <w:uiPriority w:val="0"/>
    <w:rPr>
      <w:rFonts w:ascii="Arial" w:hAnsi="Arial" w:eastAsia="宋体"/>
      <w:b/>
      <w:color w:val="000000" w:themeColor="text1"/>
      <w:sz w:val="32"/>
      <w14:textFill>
        <w14:solidFill>
          <w14:schemeClr w14:val="tx1"/>
        </w14:solidFill>
      </w14:textFill>
    </w:rPr>
  </w:style>
  <w:style w:type="character" w:customStyle="1" w:styleId="32">
    <w:name w:val="标题 Char"/>
    <w:link w:val="20"/>
    <w:qFormat/>
    <w:uiPriority w:val="0"/>
    <w:rPr>
      <w:rFonts w:ascii="Cambria" w:hAnsi="Cambria" w:eastAsia="等线"/>
      <w:b/>
      <w:bCs/>
      <w:kern w:val="0"/>
      <w:sz w:val="32"/>
      <w:szCs w:val="32"/>
    </w:rPr>
  </w:style>
  <w:style w:type="character" w:customStyle="1" w:styleId="33">
    <w:name w:val="标题 5 Char"/>
    <w:link w:val="6"/>
    <w:qFormat/>
    <w:uiPriority w:val="99"/>
    <w:rPr>
      <w:rFonts w:eastAsia="宋体"/>
    </w:rPr>
  </w:style>
  <w:style w:type="character" w:customStyle="1" w:styleId="34">
    <w:name w:val="标题 4 Char"/>
    <w:link w:val="5"/>
    <w:qFormat/>
    <w:uiPriority w:val="0"/>
    <w:rPr>
      <w:rFonts w:ascii="Arial" w:hAnsi="Arial" w:eastAsia="宋体"/>
      <w:sz w:val="28"/>
    </w:rPr>
  </w:style>
  <w:style w:type="paragraph" w:styleId="35">
    <w:name w:val="List Paragraph"/>
    <w:basedOn w:val="1"/>
    <w:qFormat/>
    <w:uiPriority w:val="99"/>
    <w:pPr>
      <w:spacing w:before="265"/>
      <w:ind w:left="1320" w:hanging="420"/>
    </w:pPr>
    <w:rPr>
      <w:rFonts w:ascii="宋体" w:hAnsi="宋体" w:cs="宋体"/>
      <w:lang w:val="zh-CN"/>
    </w:rPr>
  </w:style>
  <w:style w:type="paragraph" w:customStyle="1" w:styleId="36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  <w:style w:type="character" w:customStyle="1" w:styleId="37">
    <w:name w:val="Intense Emphasis"/>
    <w:basedOn w:val="24"/>
    <w:qFormat/>
    <w:uiPriority w:val="21"/>
    <w:rPr>
      <w:b/>
      <w:i/>
      <w:iCs/>
      <w:color w:val="auto"/>
    </w:rPr>
  </w:style>
  <w:style w:type="character" w:customStyle="1" w:styleId="38">
    <w:name w:val="标题 3 Char"/>
    <w:link w:val="4"/>
    <w:qFormat/>
    <w:uiPriority w:val="0"/>
    <w:rPr>
      <w:rFonts w:ascii="Times New Roman" w:hAnsi="Times New Roman" w:eastAsia="宋体"/>
      <w:sz w:val="30"/>
    </w:rPr>
  </w:style>
  <w:style w:type="paragraph" w:customStyle="1" w:styleId="39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40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41">
    <w:name w:val="WPSOffice手动目录 3"/>
    <w:qFormat/>
    <w:uiPriority w:val="0"/>
    <w:pPr>
      <w:ind w:leftChars="40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42">
    <w:name w:val="样式1"/>
    <w:basedOn w:val="1"/>
    <w:qFormat/>
    <w:uiPriority w:val="0"/>
  </w:style>
  <w:style w:type="table" w:customStyle="1" w:styleId="43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34</Words>
  <Characters>34</Characters>
  <Lines>0</Lines>
  <Paragraphs>0</Paragraphs>
  <TotalTime>304</TotalTime>
  <ScaleCrop>false</ScaleCrop>
  <LinksUpToDate>false</LinksUpToDate>
  <CharactersWithSpaces>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2023-03-29T05:17:00Z</dcterms:created>
  <dc:creator>Administrator</dc:creator>
  <cp:lastModifiedBy>吴瑛</cp:lastModifiedBy>
  <dcterms:modified xsi:type="dcterms:W3CDTF">2026-09-22T06:49:23Z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AC2871FF42B343ABA8A9BC2287BA8C72_13</vt:lpwstr>
  </property>
  <property fmtid="{D5CDD505-2E9C-101B-9397-08002B2CF9AE}" pid="4" name="KSOTemplateDocerSaveRecord">
    <vt:lpwstr>eyJoZGlkIjoiODlhZjU3OWU3NmJlZGZlZmI0YTc0NDY4OWEyZjkyMmUiLCJ1c2VySWQiOiI1Mjc4MDMxMjcifQ==</vt:lpwstr>
  </property>
</Properties>
</file>