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2BE32E">
      <w:pPr>
        <w:spacing w:before="480" w:after="480" w:line="288" w:lineRule="auto"/>
        <w:ind w:left="0"/>
        <w:jc w:val="left"/>
        <w:rPr>
          <w:rFonts w:hint="eastAsia" w:ascii="Arial" w:hAnsi="Arial" w:eastAsia="等线" w:cs="Arial"/>
          <w:b w:val="0"/>
          <w:bCs/>
          <w:sz w:val="28"/>
          <w:szCs w:val="28"/>
          <w:lang w:val="en-US" w:eastAsia="zh-CN"/>
        </w:rPr>
      </w:pPr>
      <w:r>
        <w:rPr>
          <w:rFonts w:hint="eastAsia" w:ascii="Arial" w:hAnsi="Arial" w:eastAsia="等线" w:cs="Arial"/>
          <w:b w:val="0"/>
          <w:bCs/>
          <w:sz w:val="28"/>
          <w:szCs w:val="28"/>
          <w:lang w:val="en-US" w:eastAsia="zh-CN"/>
        </w:rPr>
        <w:t>附件</w:t>
      </w:r>
    </w:p>
    <w:p w14:paraId="24DEA30B">
      <w:pPr>
        <w:spacing w:before="480" w:after="480" w:line="288" w:lineRule="auto"/>
        <w:ind w:left="0"/>
        <w:jc w:val="center"/>
      </w:pPr>
      <w:r>
        <w:rPr>
          <w:rFonts w:ascii="Arial" w:hAnsi="Arial" w:eastAsia="等线" w:cs="Arial"/>
          <w:b/>
          <w:sz w:val="52"/>
        </w:rPr>
        <w:t>职业院校技能大赛商贸赛道培训与指导服务项目综合评分表</w:t>
      </w:r>
      <w:bookmarkStart w:id="0" w:name="_GoBack"/>
      <w:bookmarkEnd w:id="0"/>
    </w:p>
    <w:tbl>
      <w:tblPr>
        <w:tblStyle w:val="3"/>
        <w:tblpPr w:leftFromText="180" w:rightFromText="180" w:vertAnchor="text" w:horzAnchor="page" w:tblpX="1808" w:tblpY="453"/>
        <w:tblOverlap w:val="never"/>
        <w:tblW w:w="85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3013"/>
        <w:gridCol w:w="4875"/>
        <w:gridCol w:w="633"/>
      </w:tblGrid>
      <w:tr w14:paraId="28103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</w:trPr>
        <w:tc>
          <w:tcPr>
            <w:tcW w:w="301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3CB728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b/>
                <w:sz w:val="22"/>
              </w:rPr>
            </w:pPr>
            <w:r>
              <w:rPr>
                <w:rFonts w:ascii="Arial" w:hAnsi="Arial" w:eastAsia="等线" w:cs="Arial"/>
                <w:b/>
                <w:sz w:val="22"/>
              </w:rPr>
              <w:t>评审内容</w:t>
            </w:r>
          </w:p>
        </w:tc>
        <w:tc>
          <w:tcPr>
            <w:tcW w:w="487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8472C2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b/>
                <w:sz w:val="22"/>
              </w:rPr>
            </w:pPr>
            <w:r>
              <w:rPr>
                <w:rFonts w:ascii="Arial" w:hAnsi="Arial" w:eastAsia="等线" w:cs="Arial"/>
                <w:b/>
                <w:sz w:val="22"/>
              </w:rPr>
              <w:t>评审标准</w:t>
            </w:r>
          </w:p>
        </w:tc>
        <w:tc>
          <w:tcPr>
            <w:tcW w:w="63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E35D091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b/>
                <w:sz w:val="22"/>
              </w:rPr>
            </w:pPr>
            <w:r>
              <w:rPr>
                <w:rFonts w:ascii="Arial" w:hAnsi="Arial" w:eastAsia="等线" w:cs="Arial"/>
                <w:b/>
                <w:sz w:val="22"/>
              </w:rPr>
              <w:t>打分</w:t>
            </w:r>
          </w:p>
        </w:tc>
      </w:tr>
      <w:tr w14:paraId="12029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301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46653E4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1）评标总得分计算公式</w:t>
            </w:r>
          </w:p>
        </w:tc>
        <w:tc>
          <w:tcPr>
            <w:tcW w:w="487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FA44A1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投标人的评标总得分＝F1＋F2＋F3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其中：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F1、F2、F3 分别为投标报价、技术部分、商务部分 3 项评分因素的汇总得分。</w:t>
            </w:r>
          </w:p>
        </w:tc>
        <w:tc>
          <w:tcPr>
            <w:tcW w:w="63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66DC0F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</w:rPr>
            </w:pPr>
          </w:p>
        </w:tc>
      </w:tr>
      <w:tr w14:paraId="7F8C0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301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D7CDF25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2）评分因素权重</w:t>
            </w:r>
          </w:p>
        </w:tc>
        <w:tc>
          <w:tcPr>
            <w:tcW w:w="487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9AC2CE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投标报价 F1：20 分。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技术部分 F2：50 分。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商务部分 F3：30 分。</w:t>
            </w:r>
          </w:p>
        </w:tc>
        <w:tc>
          <w:tcPr>
            <w:tcW w:w="63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C25CFC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</w:rPr>
            </w:pPr>
          </w:p>
        </w:tc>
      </w:tr>
      <w:tr w14:paraId="4F03A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301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5168C4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3）投标报价得分 F1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（满分 20 分）</w:t>
            </w:r>
          </w:p>
        </w:tc>
        <w:tc>
          <w:tcPr>
            <w:tcW w:w="487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E7CEFDF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1. 本项目最高限价为 28000.00 元，投标报价不得超过最高限价，否则按无效投标处理。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2. 采用低价优先法计算：满足采购需求且投标价格最低的为评标基准价，其价格得分为 20 分。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3. 其他投标人的价格得分 =（评标基准价 ÷ 投标报价）×20。</w:t>
            </w:r>
          </w:p>
        </w:tc>
        <w:tc>
          <w:tcPr>
            <w:tcW w:w="63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D2F8FB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</w:rPr>
            </w:pPr>
          </w:p>
        </w:tc>
      </w:tr>
      <w:tr w14:paraId="6D28F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3013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187F9B0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4）技术部分得分 F2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（满分 50 分）</w:t>
            </w:r>
          </w:p>
        </w:tc>
        <w:tc>
          <w:tcPr>
            <w:tcW w:w="487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8D2DFD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培训服务内容响应评审（满分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20</w:t>
            </w:r>
            <w:r>
              <w:rPr>
                <w:rFonts w:ascii="Arial" w:hAnsi="Arial" w:eastAsia="等线" w:cs="Arial"/>
                <w:sz w:val="22"/>
              </w:rPr>
              <w:t>分）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根据采购需求中培训服务内容进行评审：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 xml:space="preserve">（1）核心培训内容响应（满分 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12</w:t>
            </w:r>
            <w:r>
              <w:rPr>
                <w:rFonts w:ascii="Arial" w:hAnsi="Arial" w:eastAsia="等线" w:cs="Arial"/>
                <w:sz w:val="22"/>
              </w:rPr>
              <w:t xml:space="preserve">分）：完整响应 3 次线上专题讲解（项目立项、赛演脚本、核心技能训练、汇报 PPT 制作）、2 次线上材料集中指导全部服务内容得 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12</w:t>
            </w:r>
            <w:r>
              <w:rPr>
                <w:rFonts w:ascii="Arial" w:hAnsi="Arial" w:eastAsia="等线" w:cs="Arial"/>
                <w:sz w:val="22"/>
              </w:rPr>
              <w:t xml:space="preserve">分；每缺一项核心服务扣 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5</w:t>
            </w:r>
            <w:r>
              <w:rPr>
                <w:rFonts w:ascii="Arial" w:hAnsi="Arial" w:eastAsia="等线" w:cs="Arial"/>
                <w:sz w:val="22"/>
              </w:rPr>
              <w:t xml:space="preserve"> 分，扣完为止。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 xml:space="preserve">（2）配套物料租赁服务响应（满分 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8</w:t>
            </w:r>
            <w:r>
              <w:rPr>
                <w:rFonts w:ascii="Arial" w:hAnsi="Arial" w:eastAsia="等线" w:cs="Arial"/>
                <w:sz w:val="22"/>
              </w:rPr>
              <w:t xml:space="preserve"> 分）：完整响应参赛服装、手机、补光灯等参赛物料租赁服务得 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8</w:t>
            </w:r>
            <w:r>
              <w:rPr>
                <w:rFonts w:ascii="Arial" w:hAnsi="Arial" w:eastAsia="等线" w:cs="Arial"/>
                <w:sz w:val="22"/>
              </w:rPr>
              <w:t xml:space="preserve">分；缺少一类租赁内容扣 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3</w:t>
            </w:r>
            <w:r>
              <w:rPr>
                <w:rFonts w:ascii="Arial" w:hAnsi="Arial" w:eastAsia="等线" w:cs="Arial"/>
                <w:sz w:val="22"/>
              </w:rPr>
              <w:t>分，扣完为止。投标人须如实填写技术规格偏离表。</w:t>
            </w:r>
          </w:p>
        </w:tc>
        <w:tc>
          <w:tcPr>
            <w:tcW w:w="63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B4E044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</w:rPr>
            </w:pPr>
          </w:p>
        </w:tc>
      </w:tr>
      <w:tr w14:paraId="3C26B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3013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FAE4FF7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</w:p>
        </w:tc>
        <w:tc>
          <w:tcPr>
            <w:tcW w:w="487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887C2CC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 xml:space="preserve">项目实施方案评审评分（满分 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10</w:t>
            </w:r>
            <w:r>
              <w:rPr>
                <w:rFonts w:ascii="Arial" w:hAnsi="Arial" w:eastAsia="等线" w:cs="Arial"/>
                <w:sz w:val="22"/>
              </w:rPr>
              <w:t xml:space="preserve"> 分）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结合本项目世校赛、云南省职业院校技能大赛备赛需求，投标人提交实施方案应保障备赛培训目标落地，内容包括但不限于培训整体规划、课程设计、线上培训组织流程、备赛辅导实施计划、时间进度安排等。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 xml:space="preserve">第一个档次 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10</w:t>
            </w:r>
            <w:r>
              <w:rPr>
                <w:rFonts w:ascii="Arial" w:hAnsi="Arial" w:eastAsia="等线" w:cs="Arial"/>
                <w:sz w:val="22"/>
              </w:rPr>
              <w:t>分：投标人的项目实施方案完全符合上述要求，无偏离的；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第二个档次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6</w:t>
            </w:r>
            <w:r>
              <w:rPr>
                <w:rFonts w:ascii="Arial" w:hAnsi="Arial" w:eastAsia="等线" w:cs="Arial"/>
                <w:sz w:val="22"/>
              </w:rPr>
              <w:t>分：投标人的实施方案中，存在 1‑2 项 (处) 偏离的；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 xml:space="preserve">第三个档次 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2</w:t>
            </w:r>
            <w:r>
              <w:rPr>
                <w:rFonts w:ascii="Arial" w:hAnsi="Arial" w:eastAsia="等线" w:cs="Arial"/>
                <w:sz w:val="22"/>
              </w:rPr>
              <w:t>分：投标人的实施方案中，存在 3‑4 项 (处) 偏离的；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第四个档次（0 分）未提供实施方案的。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注：本项评分所称 “偏离” 是指内容缺项、不完整；课程设计不贴合商贸赛道赛项；培训流程不清晰；无备赛时间进度规划；套用其他项目模板，不适用本赛项；前后表述矛盾；逻辑漏洞；不具备可行性，不利于参赛备赛目标实现。</w:t>
            </w:r>
          </w:p>
        </w:tc>
        <w:tc>
          <w:tcPr>
            <w:tcW w:w="63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D20F1E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</w:rPr>
            </w:pPr>
          </w:p>
        </w:tc>
      </w:tr>
      <w:tr w14:paraId="21112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3013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20CFEA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</w:p>
        </w:tc>
        <w:tc>
          <w:tcPr>
            <w:tcW w:w="487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6614661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Arial" w:hAnsi="Arial" w:eastAsia="等线" w:cs="Arial"/>
                <w:sz w:val="22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租赁平台技术参数</w:t>
            </w:r>
            <w:r>
              <w:rPr>
                <w:rFonts w:ascii="Arial" w:hAnsi="Arial" w:eastAsia="等线" w:cs="Arial"/>
                <w:sz w:val="22"/>
              </w:rPr>
              <w:t xml:space="preserve">评审评分（满分 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20</w:t>
            </w:r>
            <w:r>
              <w:rPr>
                <w:rFonts w:ascii="Arial" w:hAnsi="Arial" w:eastAsia="等线" w:cs="Arial"/>
                <w:sz w:val="22"/>
              </w:rPr>
              <w:t xml:space="preserve"> 分）</w:t>
            </w:r>
          </w:p>
          <w:p w14:paraId="04E63147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Arial" w:hAnsi="Arial" w:eastAsia="等线" w:cs="Arial"/>
                <w:sz w:val="22"/>
              </w:rPr>
            </w:pPr>
            <w:r>
              <w:rPr>
                <w:rFonts w:hint="eastAsia" w:ascii="Arial" w:hAnsi="Arial" w:eastAsia="等线" w:cs="Arial"/>
                <w:sz w:val="22"/>
              </w:rPr>
              <w:t>1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.</w:t>
            </w:r>
            <w:r>
              <w:rPr>
                <w:rFonts w:hint="eastAsia" w:ascii="Arial" w:hAnsi="Arial" w:eastAsia="等线" w:cs="Arial"/>
                <w:sz w:val="22"/>
              </w:rPr>
              <w:t>重要技术参数（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15</w:t>
            </w:r>
            <w:r>
              <w:rPr>
                <w:rFonts w:hint="eastAsia" w:ascii="Arial" w:hAnsi="Arial" w:eastAsia="等线" w:cs="Arial"/>
                <w:sz w:val="22"/>
              </w:rPr>
              <w:t>分）：采购需求中所列的★参数，共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5</w:t>
            </w:r>
            <w:r>
              <w:rPr>
                <w:rFonts w:hint="eastAsia" w:ascii="Arial" w:hAnsi="Arial" w:eastAsia="等线" w:cs="Arial"/>
                <w:sz w:val="22"/>
              </w:rPr>
              <w:t>条，满分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15</w:t>
            </w:r>
            <w:r>
              <w:rPr>
                <w:rFonts w:hint="eastAsia" w:ascii="Arial" w:hAnsi="Arial" w:eastAsia="等线" w:cs="Arial"/>
                <w:sz w:val="22"/>
              </w:rPr>
              <w:t>分：</w:t>
            </w:r>
          </w:p>
          <w:p w14:paraId="693FC667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Arial" w:hAnsi="Arial" w:eastAsia="等线" w:cs="Arial"/>
                <w:sz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2"/>
              </w:rPr>
              <w:t>重要技术参数偏离情况为“正偏离”或“无偏离”的，每项得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3</w:t>
            </w:r>
            <w:r>
              <w:rPr>
                <w:rFonts w:hint="eastAsia" w:ascii="Arial" w:hAnsi="Arial" w:eastAsia="等线" w:cs="Arial"/>
                <w:sz w:val="22"/>
              </w:rPr>
              <w:t>分；为“负偏离”的参数不得分。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 xml:space="preserve">   </w:t>
            </w:r>
          </w:p>
          <w:p w14:paraId="3832250C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Arial" w:hAnsi="Arial" w:eastAsia="等线" w:cs="Arial"/>
                <w:sz w:val="22"/>
              </w:rPr>
            </w:pPr>
            <w:r>
              <w:rPr>
                <w:rFonts w:hint="eastAsia" w:ascii="Arial" w:hAnsi="Arial" w:eastAsia="等线" w:cs="Arial"/>
                <w:sz w:val="22"/>
              </w:rPr>
              <w:t>重要技术参数须提供证明材料，无证明材料或证明材料与应答内容不符或无法体现参数内容的，视为未响应该条参数。</w:t>
            </w:r>
          </w:p>
          <w:p w14:paraId="00026AF9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Arial" w:hAnsi="Arial" w:eastAsia="等线" w:cs="Arial"/>
                <w:sz w:val="22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2.</w:t>
            </w:r>
            <w:r>
              <w:rPr>
                <w:rFonts w:hint="eastAsia" w:ascii="Arial" w:hAnsi="Arial" w:eastAsia="等线" w:cs="Arial"/>
                <w:sz w:val="22"/>
              </w:rPr>
              <w:t>一般参数（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5</w:t>
            </w:r>
            <w:r>
              <w:rPr>
                <w:rFonts w:hint="eastAsia" w:ascii="Arial" w:hAnsi="Arial" w:eastAsia="等线" w:cs="Arial"/>
                <w:sz w:val="22"/>
              </w:rPr>
              <w:t>分）：采购需求中所列未标注★号的参数为一般技术参数</w:t>
            </w:r>
          </w:p>
          <w:p w14:paraId="2DA7438D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Arial" w:hAnsi="Arial" w:eastAsia="等线" w:cs="Arial"/>
                <w:sz w:val="22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一般</w:t>
            </w:r>
            <w:r>
              <w:rPr>
                <w:rFonts w:hint="eastAsia" w:ascii="Arial" w:hAnsi="Arial" w:eastAsia="等线" w:cs="Arial"/>
                <w:sz w:val="22"/>
              </w:rPr>
              <w:t>参数偏离情况为“正偏离”或“无偏离”的，每项得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2</w:t>
            </w:r>
            <w:r>
              <w:rPr>
                <w:rFonts w:hint="eastAsia" w:ascii="Arial" w:hAnsi="Arial" w:eastAsia="等线" w:cs="Arial"/>
                <w:sz w:val="22"/>
              </w:rPr>
              <w:t>分；为“负偏离”的参数不得分。</w:t>
            </w:r>
          </w:p>
          <w:p w14:paraId="4ED6BE2E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default" w:ascii="Arial" w:hAnsi="Arial" w:eastAsia="等线" w:cs="Arial"/>
                <w:sz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注：采购方有权要求中标单位至指定地点对响应参数进行现场演示。</w:t>
            </w:r>
          </w:p>
        </w:tc>
        <w:tc>
          <w:tcPr>
            <w:tcW w:w="63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21DA41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</w:rPr>
            </w:pPr>
          </w:p>
        </w:tc>
      </w:tr>
      <w:tr w14:paraId="75676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3013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1700FB6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hint="eastAsia" w:ascii="Arial" w:hAnsi="Arial" w:eastAsia="等线" w:cs="Arial"/>
                <w:sz w:val="22"/>
                <w:lang w:eastAsia="zh-CN"/>
              </w:rPr>
              <w:t>（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5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）</w:t>
            </w:r>
            <w:r>
              <w:rPr>
                <w:rFonts w:ascii="Arial" w:hAnsi="Arial" w:eastAsia="等线" w:cs="Arial"/>
                <w:sz w:val="22"/>
              </w:rPr>
              <w:t>商务部分 F3 (满分 30 分）</w:t>
            </w:r>
          </w:p>
        </w:tc>
        <w:tc>
          <w:tcPr>
            <w:tcW w:w="487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ACF343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服务承诺评审评分（满分 15 分）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（一）服务质量承诺及保障措施（7 分）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1. 提供详细的培训服务质量承诺，内容全面、合理；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2. 对应提供切实可行的保障措施、违约责任承诺。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以上方面，每项 3.5 分；有一项描述缺乏完整性、合理性的扣 1.5 分；有一项缺项漏项或不符合项目备赛实际情况的扣 3.5 分。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（二）授课人员到位承诺及保障措施（8 分）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1. 提供详细授课人员到位承诺，人员配置适配本赛项培训工作；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2. 对应提供切实可行的保障措施、违约责任承诺。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以上方面，每项 4 分；有一项描述缺乏完整性、合理性的扣 2 分；有一项缺项漏项或不符合项目实际情况的扣 4 分。</w:t>
            </w:r>
          </w:p>
        </w:tc>
        <w:tc>
          <w:tcPr>
            <w:tcW w:w="63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736E1A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</w:rPr>
            </w:pPr>
          </w:p>
        </w:tc>
      </w:tr>
      <w:tr w14:paraId="07AD2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3013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FFDCF99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</w:p>
        </w:tc>
        <w:tc>
          <w:tcPr>
            <w:tcW w:w="487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AB640E7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赛项备赛辅导方案评审评分（满分 1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5</w:t>
            </w:r>
            <w:r>
              <w:rPr>
                <w:rFonts w:ascii="Arial" w:hAnsi="Arial" w:eastAsia="等线" w:cs="Arial"/>
                <w:sz w:val="22"/>
              </w:rPr>
              <w:t xml:space="preserve"> 分）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投标人结合 2026 年云南省职业院校技能大赛商贸赛道备赛节点制定辅导方案，内容包含：①专题讲解、集中指导实施安排；②针对项目立项、赛演脚本、技能训练、PPT 优化的辅导要点；③明确线上授课、答疑、材料审阅的工作安排。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第一个档次 1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5</w:t>
            </w:r>
            <w:r>
              <w:rPr>
                <w:rFonts w:ascii="Arial" w:hAnsi="Arial" w:eastAsia="等线" w:cs="Arial"/>
                <w:sz w:val="22"/>
              </w:rPr>
              <w:t xml:space="preserve"> 分：投标人的备赛辅导方案，符合上述要求，无偏离的；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 xml:space="preserve">第二个档次 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10</w:t>
            </w:r>
            <w:r>
              <w:rPr>
                <w:rFonts w:ascii="Arial" w:hAnsi="Arial" w:eastAsia="等线" w:cs="Arial"/>
                <w:sz w:val="22"/>
              </w:rPr>
              <w:t>分：投标人的备赛辅导方案，存在 1 项 (处) 偏离的；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 xml:space="preserve">第三个档次 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5</w:t>
            </w:r>
            <w:r>
              <w:rPr>
                <w:rFonts w:ascii="Arial" w:hAnsi="Arial" w:eastAsia="等线" w:cs="Arial"/>
                <w:sz w:val="22"/>
              </w:rPr>
              <w:t>分：投标人的备赛辅导方案，存在 2 项 (处) 及以上偏离的；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第四个档次 0 分：未提供备赛辅导方案的；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注：本项评分所称 “偏离” 是内容缺项、不完整；套用其他项目模板；前后表述矛盾；逻辑漏洞；不贴合本赛项备赛时间节点；无明确授课、答疑、材料审阅工作安排。</w:t>
            </w:r>
          </w:p>
        </w:tc>
        <w:tc>
          <w:tcPr>
            <w:tcW w:w="63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5B90DC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</w:rPr>
            </w:pPr>
          </w:p>
        </w:tc>
      </w:tr>
    </w:tbl>
    <w:p w14:paraId="3FA5F7A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注：</w:t>
      </w:r>
    </w:p>
    <w:p w14:paraId="50931C5F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>1.</w:t>
      </w:r>
      <w:r>
        <w:rPr>
          <w:rFonts w:ascii="Arial" w:hAnsi="Arial" w:eastAsia="等线" w:cs="Arial"/>
          <w:sz w:val="22"/>
        </w:rPr>
        <w:t>本评分表总分 100 分，评审小组根据各投标人的响应文件逐项打分，最终得分为各评审项目得分之和。</w:t>
      </w:r>
    </w:p>
    <w:p w14:paraId="2F4D69DB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>2.</w:t>
      </w:r>
      <w:r>
        <w:rPr>
          <w:rFonts w:ascii="Arial" w:hAnsi="Arial" w:eastAsia="等线" w:cs="Arial"/>
          <w:sz w:val="22"/>
        </w:rPr>
        <w:t>评分过程中，若遇分值计算为小数，保留两位小数（四舍五入）。</w:t>
      </w:r>
    </w:p>
    <w:p w14:paraId="6BF1AA6C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>3.</w:t>
      </w:r>
      <w:r>
        <w:rPr>
          <w:rFonts w:ascii="Arial" w:hAnsi="Arial" w:eastAsia="等线" w:cs="Arial"/>
          <w:sz w:val="22"/>
        </w:rPr>
        <w:t>评审结果按总分从高到低排序，总分最高者为第一成交候选人。</w:t>
      </w:r>
    </w:p>
    <w:p w14:paraId="5FCFAB13">
      <w:pPr>
        <w:spacing w:before="120" w:after="120" w:line="288" w:lineRule="auto"/>
        <w:ind w:left="0"/>
        <w:jc w:val="left"/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20892A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5FFF5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B6675D"/>
    <w:rsid w:val="4F9843C7"/>
    <w:rsid w:val="71B10457"/>
    <w:rsid w:val="7D7675F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after="120"/>
    </w:pPr>
    <w:rPr>
      <w:rFonts w:ascii="Calibri" w:hAnsi="Calibri"/>
      <w:kern w:val="0"/>
      <w:sz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1719</Words>
  <Characters>1790</Characters>
  <TotalTime>6</TotalTime>
  <ScaleCrop>false</ScaleCrop>
  <LinksUpToDate>false</LinksUpToDate>
  <CharactersWithSpaces>1895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2026-09-08T07:08:00Z</dcterms:created>
  <dc:creator>Apache POI</dc:creator>
  <cp:lastModifiedBy>控制</cp:lastModifiedBy>
  <dcterms:modified xsi:type="dcterms:W3CDTF">2026-09-10T02:39:18Z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{"Label":"1","ContentProducer":"001191110102MACQD9K64010000","ProduceID":"7683057923878849721","ReservedCode1":"","ContentPropagator":"","PropagateID":"","ReservedCode2":""}</vt:lpwstr>
  </property>
  <property fmtid="{D5CDD505-2E9C-101B-9397-08002B2CF9AE}" pid="3" name="KSOTemplateDocerSaveRecord">
    <vt:lpwstr>eyJoZGlkIjoiZTM0OTI0MGM3ZWE1NmFjZGM2ZWFmMWIxMDkyYjUyZWIiLCJ1c2VySWQiOiIzNzM0Mzk0MjcifQ==</vt:lpwstr>
  </property>
  <property fmtid="{D5CDD505-2E9C-101B-9397-08002B2CF9AE}" pid="4" name="KSOProductBuildVer">
    <vt:lpwstr>2052-12.1.0.26895</vt:lpwstr>
  </property>
  <property fmtid="{D5CDD505-2E9C-101B-9397-08002B2CF9AE}" pid="5" name="ICV">
    <vt:lpwstr>7AA8EEE055E2481298225CDDE564E350_13</vt:lpwstr>
  </property>
</Properties>
</file>