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附件1：评分标准表</w:t>
      </w:r>
    </w:p>
    <w:tbl>
      <w:tblPr>
        <w:tblStyle w:val="2"/>
        <w:tblW w:w="5028" w:type="pct"/>
        <w:tblInd w:w="10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1526"/>
        <w:gridCol w:w="4141"/>
        <w:gridCol w:w="1292"/>
        <w:gridCol w:w="7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477" w:type="pct"/>
            <w:noWrap w:val="0"/>
            <w:vAlign w:val="center"/>
          </w:tcPr>
          <w:p>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分值</w:t>
            </w:r>
          </w:p>
        </w:tc>
        <w:tc>
          <w:tcPr>
            <w:tcW w:w="890" w:type="pct"/>
            <w:noWrap w:val="0"/>
            <w:vAlign w:val="center"/>
          </w:tcPr>
          <w:p>
            <w:pPr>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评审</w:t>
            </w:r>
            <w:r>
              <w:rPr>
                <w:rFonts w:hint="eastAsia" w:ascii="仿宋" w:hAnsi="仿宋" w:eastAsia="仿宋" w:cs="仿宋"/>
                <w:sz w:val="21"/>
                <w:szCs w:val="21"/>
                <w:lang w:val="en-US" w:eastAsia="zh-CN"/>
              </w:rPr>
              <w:t>项目</w:t>
            </w:r>
          </w:p>
        </w:tc>
        <w:tc>
          <w:tcPr>
            <w:tcW w:w="2415" w:type="pct"/>
            <w:noWrap w:val="0"/>
            <w:vAlign w:val="center"/>
          </w:tcPr>
          <w:p>
            <w:pPr>
              <w:spacing w:line="240" w:lineRule="auto"/>
              <w:ind w:firstLine="1680" w:firstLineChars="8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评分标准</w:t>
            </w:r>
          </w:p>
        </w:tc>
        <w:tc>
          <w:tcPr>
            <w:tcW w:w="1216" w:type="pct"/>
            <w:gridSpan w:val="2"/>
            <w:noWrap w:val="0"/>
            <w:vAlign w:val="center"/>
          </w:tcPr>
          <w:p>
            <w:pPr>
              <w:spacing w:line="240" w:lineRule="auto"/>
              <w:ind w:firstLine="210" w:firstLineChars="100"/>
              <w:rPr>
                <w:rFonts w:hint="eastAsia" w:ascii="仿宋" w:hAnsi="仿宋" w:eastAsia="仿宋" w:cs="仿宋"/>
                <w:sz w:val="21"/>
                <w:szCs w:val="21"/>
                <w:lang w:eastAsia="zh-CN"/>
              </w:rPr>
            </w:pPr>
            <w:r>
              <w:rPr>
                <w:rFonts w:hint="eastAsia" w:ascii="仿宋" w:hAnsi="仿宋" w:eastAsia="仿宋" w:cs="仿宋"/>
                <w:sz w:val="21"/>
                <w:szCs w:val="21"/>
                <w:lang w:val="en-US" w:eastAsia="zh-CN"/>
              </w:rPr>
              <w:t>得分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100分</w:t>
            </w:r>
            <w:r>
              <w:rPr>
                <w:rFonts w:hint="eastAsia" w:ascii="仿宋" w:hAnsi="仿宋" w:eastAsia="仿宋" w:cs="仿宋"/>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77" w:type="pct"/>
            <w:vMerge w:val="restart"/>
            <w:noWrap w:val="0"/>
            <w:vAlign w:val="center"/>
          </w:tcPr>
          <w:p>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15分</w:t>
            </w:r>
          </w:p>
        </w:tc>
        <w:tc>
          <w:tcPr>
            <w:tcW w:w="890" w:type="pct"/>
            <w:vMerge w:val="restart"/>
            <w:noWrap w:val="0"/>
            <w:vAlign w:val="center"/>
          </w:tcPr>
          <w:p>
            <w:pPr>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报价</w:t>
            </w:r>
          </w:p>
        </w:tc>
        <w:tc>
          <w:tcPr>
            <w:tcW w:w="2415" w:type="pct"/>
            <w:vMerge w:val="restart"/>
            <w:noWrap w:val="0"/>
            <w:vAlign w:val="center"/>
          </w:tcPr>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【评分内容】</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在比选公告价格上限内最优报价</w:t>
            </w:r>
            <w:r>
              <w:rPr>
                <w:rFonts w:hint="eastAsia" w:ascii="仿宋" w:hAnsi="仿宋" w:eastAsia="仿宋" w:cs="仿宋"/>
                <w:sz w:val="21"/>
                <w:szCs w:val="21"/>
                <w:lang w:eastAsia="zh-CN"/>
              </w:rPr>
              <w:t>。</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【评分依据】</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1.比选报价超过比选公告的最高限价视为0分；符合比选公告最高限价的报价视为有效报价。</w:t>
            </w:r>
          </w:p>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2.评审专家组综合考虑比选方提出的合作方案、成果产出、实训室投入比选报价与专业共建实施方案契合度评分。</w:t>
            </w:r>
          </w:p>
        </w:tc>
        <w:tc>
          <w:tcPr>
            <w:tcW w:w="753" w:type="pct"/>
            <w:noWrap w:val="0"/>
            <w:vAlign w:val="center"/>
          </w:tcPr>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对应1.项</w:t>
            </w:r>
            <w:r>
              <w:rPr>
                <w:rFonts w:hint="eastAsia" w:ascii="仿宋" w:hAnsi="仿宋" w:eastAsia="仿宋" w:cs="仿宋"/>
                <w:sz w:val="21"/>
                <w:szCs w:val="21"/>
                <w:lang w:eastAsia="zh-CN"/>
              </w:rPr>
              <w:t>（0-</w:t>
            </w:r>
            <w:r>
              <w:rPr>
                <w:rFonts w:hint="eastAsia" w:ascii="仿宋" w:hAnsi="仿宋" w:eastAsia="仿宋" w:cs="仿宋"/>
                <w:sz w:val="21"/>
                <w:szCs w:val="21"/>
                <w:lang w:val="en-US" w:eastAsia="zh-CN"/>
              </w:rPr>
              <w:t>7分）</w:t>
            </w:r>
          </w:p>
        </w:tc>
        <w:tc>
          <w:tcPr>
            <w:tcW w:w="462" w:type="pct"/>
            <w:noWrap w:val="0"/>
            <w:vAlign w:val="center"/>
          </w:tcPr>
          <w:p>
            <w:pPr>
              <w:spacing w:line="240" w:lineRule="auto"/>
              <w:ind w:firstLine="420" w:firstLineChars="200"/>
              <w:rPr>
                <w:rFonts w:hint="eastAsia" w:ascii="仿宋" w:hAnsi="仿宋" w:eastAsia="仿宋" w:cs="仿宋"/>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753" w:type="pct"/>
            <w:noWrap w:val="0"/>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对应2.项（0-8分）</w:t>
            </w:r>
          </w:p>
        </w:tc>
        <w:tc>
          <w:tcPr>
            <w:tcW w:w="462" w:type="pct"/>
            <w:noWrap w:val="0"/>
            <w:vAlign w:val="center"/>
          </w:tcPr>
          <w:p>
            <w:pPr>
              <w:spacing w:line="240" w:lineRule="auto"/>
              <w:rPr>
                <w:rFonts w:hint="eastAsia" w:ascii="仿宋" w:hAnsi="仿宋" w:eastAsia="仿宋" w:cs="仿宋"/>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trPr>
        <w:tc>
          <w:tcPr>
            <w:tcW w:w="477" w:type="pct"/>
            <w:vMerge w:val="restart"/>
            <w:noWrap w:val="0"/>
            <w:vAlign w:val="center"/>
          </w:tcPr>
          <w:p>
            <w:pPr>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55分</w:t>
            </w:r>
          </w:p>
        </w:tc>
        <w:tc>
          <w:tcPr>
            <w:tcW w:w="890" w:type="pct"/>
            <w:vMerge w:val="restart"/>
            <w:noWrap w:val="0"/>
            <w:vAlign w:val="center"/>
          </w:tcPr>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项目实施方案</w:t>
            </w:r>
          </w:p>
        </w:tc>
        <w:tc>
          <w:tcPr>
            <w:tcW w:w="2415" w:type="pct"/>
            <w:vMerge w:val="restart"/>
            <w:noWrap w:val="0"/>
            <w:vAlign w:val="center"/>
          </w:tcPr>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【评分内容】</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依据比选公告:第四项“</w:t>
            </w:r>
            <w:r>
              <w:rPr>
                <w:rFonts w:hint="eastAsia" w:ascii="仿宋" w:hAnsi="仿宋" w:eastAsia="仿宋" w:cs="仿宋"/>
                <w:sz w:val="21"/>
                <w:szCs w:val="21"/>
                <w:lang w:eastAsia="zh-CN"/>
              </w:rPr>
              <w:t>专业共建内容及具体要求”（</w:t>
            </w:r>
            <w:r>
              <w:rPr>
                <w:rFonts w:hint="eastAsia" w:ascii="仿宋" w:hAnsi="仿宋" w:eastAsia="仿宋" w:cs="仿宋"/>
                <w:sz w:val="21"/>
                <w:szCs w:val="21"/>
                <w:lang w:val="en-US" w:eastAsia="zh-CN"/>
              </w:rPr>
              <w:t>10项</w:t>
            </w:r>
            <w:r>
              <w:rPr>
                <w:rFonts w:hint="eastAsia" w:ascii="仿宋" w:hAnsi="仿宋" w:eastAsia="仿宋" w:cs="仿宋"/>
                <w:sz w:val="21"/>
                <w:szCs w:val="21"/>
                <w:lang w:eastAsia="zh-CN"/>
              </w:rPr>
              <w:t>）提供</w:t>
            </w:r>
            <w:r>
              <w:rPr>
                <w:rFonts w:hint="eastAsia" w:ascii="仿宋" w:hAnsi="仿宋" w:eastAsia="仿宋" w:cs="仿宋"/>
                <w:sz w:val="21"/>
                <w:szCs w:val="21"/>
                <w:lang w:val="en-US" w:eastAsia="zh-CN"/>
              </w:rPr>
              <w:t>具体响应</w:t>
            </w:r>
            <w:r>
              <w:rPr>
                <w:rFonts w:hint="eastAsia" w:ascii="仿宋" w:hAnsi="仿宋" w:eastAsia="仿宋" w:cs="仿宋"/>
                <w:sz w:val="21"/>
                <w:szCs w:val="21"/>
                <w:lang w:eastAsia="zh-CN"/>
              </w:rPr>
              <w:t>资料。</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【评分依据】</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在每项的具体响应资料评审中，评审专家可根据与专业共建实施方案契合度评分。</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A.建章立制、规范管理</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B.助力共建专业招生宣传</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C.共建高质量人才培养方案</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D.“岗、课、赛、证 ”</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E.建设校内共建专业实训中心</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F.校企共培高水平“双师”团队</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G.落地现代学徒制人才培养</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H.保障专业内涵建设成果产出</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I.专业教学、学生管理</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J.实习、就业</w:t>
            </w:r>
          </w:p>
        </w:tc>
        <w:tc>
          <w:tcPr>
            <w:tcW w:w="1216" w:type="pct"/>
            <w:gridSpan w:val="2"/>
            <w:noWrap w:val="0"/>
            <w:vAlign w:val="center"/>
          </w:tcPr>
          <w:p>
            <w:pPr>
              <w:spacing w:line="240" w:lineRule="auto"/>
              <w:jc w:val="center"/>
              <w:rPr>
                <w:rFonts w:hint="default" w:eastAsiaTheme="minorEastAsia"/>
                <w:lang w:val="en-US" w:eastAsia="zh-CN"/>
              </w:rPr>
            </w:pPr>
            <w:r>
              <w:rPr>
                <w:rFonts w:hint="eastAsia"/>
                <w:lang w:val="en-US" w:eastAsia="zh-CN"/>
              </w:rPr>
              <w:t>分项评分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jc w:val="center"/>
            </w:pPr>
          </w:p>
        </w:tc>
        <w:tc>
          <w:tcPr>
            <w:tcW w:w="890" w:type="pct"/>
            <w:vMerge w:val="continue"/>
            <w:noWrap w:val="0"/>
            <w:vAlign w:val="center"/>
          </w:tcPr>
          <w:p>
            <w:pPr>
              <w:spacing w:line="240" w:lineRule="auto"/>
              <w:jc w:val="center"/>
            </w:pPr>
          </w:p>
        </w:tc>
        <w:tc>
          <w:tcPr>
            <w:tcW w:w="2415" w:type="pct"/>
            <w:vMerge w:val="continue"/>
            <w:noWrap w:val="0"/>
            <w:vAlign w:val="center"/>
          </w:tcPr>
          <w:p>
            <w:pPr>
              <w:spacing w:line="240" w:lineRule="auto"/>
              <w:jc w:val="center"/>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A（0-2分）</w:t>
            </w:r>
          </w:p>
        </w:tc>
        <w:tc>
          <w:tcPr>
            <w:tcW w:w="462" w:type="pct"/>
            <w:noWrap w:val="0"/>
            <w:vAlign w:val="center"/>
          </w:tcPr>
          <w:p>
            <w:pPr>
              <w:spacing w:line="240" w:lineRule="auto"/>
              <w:jc w:val="center"/>
              <w:rPr>
                <w:rFonts w:hint="eastAsia"/>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B（0-4分）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C（0-3分）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D（0-6分）</w:t>
            </w:r>
          </w:p>
        </w:tc>
        <w:tc>
          <w:tcPr>
            <w:tcW w:w="462" w:type="pct"/>
            <w:noWrap w:val="0"/>
            <w:vAlign w:val="center"/>
          </w:tcPr>
          <w:p>
            <w:pPr>
              <w:spacing w:line="240" w:lineRule="auto"/>
              <w:rPr>
                <w:rFonts w:hint="eastAsia" w:eastAsiaTheme="minorEastAsia"/>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E（0-6分）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F（0-3分）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G（0-3分）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H（0-8分）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I（0-10分）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1292"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J（0-10分）</w:t>
            </w:r>
          </w:p>
        </w:tc>
        <w:tc>
          <w:tcPr>
            <w:tcW w:w="462" w:type="pct"/>
            <w:noWrap w:val="0"/>
            <w:vAlign w:val="center"/>
          </w:tcPr>
          <w:p>
            <w:pPr>
              <w:spacing w:line="240" w:lineRule="auto"/>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79" w:hRule="atLeast"/>
        </w:trPr>
        <w:tc>
          <w:tcPr>
            <w:tcW w:w="477" w:type="pct"/>
            <w:vMerge w:val="restart"/>
            <w:noWrap w:val="0"/>
            <w:vAlign w:val="center"/>
          </w:tcPr>
          <w:p>
            <w:pPr>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15分</w:t>
            </w:r>
          </w:p>
        </w:tc>
        <w:tc>
          <w:tcPr>
            <w:tcW w:w="890" w:type="pct"/>
            <w:vMerge w:val="restart"/>
            <w:noWrap w:val="0"/>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比选方专业共建团队</w:t>
            </w:r>
          </w:p>
        </w:tc>
        <w:tc>
          <w:tcPr>
            <w:tcW w:w="2415" w:type="pct"/>
            <w:vMerge w:val="restart"/>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【评分内容】</w:t>
            </w:r>
          </w:p>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eastAsia="zh-CN"/>
              </w:rPr>
              <w:t>师资能满足专业课程教学，授课教师具备本科</w:t>
            </w:r>
            <w:r>
              <w:rPr>
                <w:rFonts w:hint="eastAsia" w:ascii="仿宋" w:hAnsi="仿宋" w:eastAsia="仿宋" w:cs="仿宋"/>
                <w:sz w:val="21"/>
                <w:szCs w:val="21"/>
                <w:lang w:val="en-US" w:eastAsia="zh-CN"/>
              </w:rPr>
              <w:t>及</w:t>
            </w:r>
            <w:r>
              <w:rPr>
                <w:rFonts w:hint="eastAsia" w:ascii="仿宋" w:hAnsi="仿宋" w:eastAsia="仿宋" w:cs="仿宋"/>
                <w:sz w:val="21"/>
                <w:szCs w:val="21"/>
                <w:lang w:eastAsia="zh-CN"/>
              </w:rPr>
              <w:t>以上学历且具备行业中级以上职业资格证书，</w:t>
            </w:r>
            <w:r>
              <w:rPr>
                <w:rFonts w:hint="eastAsia" w:ascii="仿宋" w:hAnsi="仿宋" w:eastAsia="仿宋" w:cs="仿宋"/>
                <w:sz w:val="21"/>
                <w:szCs w:val="21"/>
                <w:lang w:val="en-US" w:eastAsia="zh-CN"/>
              </w:rPr>
              <w:t>与共建企业存在劳动合同或聘用等紧密关系</w:t>
            </w:r>
            <w:r>
              <w:rPr>
                <w:rFonts w:hint="eastAsia" w:ascii="仿宋" w:hAnsi="仿宋" w:eastAsia="仿宋" w:cs="仿宋"/>
                <w:sz w:val="21"/>
                <w:szCs w:val="21"/>
                <w:lang w:eastAsia="zh-CN"/>
              </w:rPr>
              <w:t>。</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【评分依据】</w:t>
            </w:r>
            <w:r>
              <w:rPr>
                <w:rFonts w:hint="eastAsia" w:ascii="仿宋" w:hAnsi="仿宋" w:eastAsia="仿宋" w:cs="仿宋"/>
                <w:sz w:val="21"/>
                <w:szCs w:val="21"/>
                <w:lang w:eastAsia="zh-CN"/>
              </w:rPr>
              <w:br w:type="textWrapping"/>
            </w:r>
            <w:r>
              <w:rPr>
                <w:rFonts w:hint="eastAsia" w:ascii="仿宋" w:hAnsi="仿宋" w:eastAsia="仿宋" w:cs="仿宋"/>
                <w:sz w:val="21"/>
                <w:szCs w:val="21"/>
                <w:lang w:eastAsia="zh-CN"/>
              </w:rPr>
              <w:t>（对应以上考察项，提供如下证明材料）：</w:t>
            </w:r>
            <w:r>
              <w:rPr>
                <w:rFonts w:hint="eastAsia" w:ascii="仿宋" w:hAnsi="仿宋" w:eastAsia="仿宋" w:cs="仿宋"/>
                <w:sz w:val="21"/>
                <w:szCs w:val="21"/>
                <w:lang w:eastAsia="zh-CN"/>
              </w:rPr>
              <w:br w:type="textWrapping"/>
            </w:r>
            <w:r>
              <w:rPr>
                <w:rFonts w:hint="eastAsia" w:ascii="仿宋" w:hAnsi="仿宋" w:eastAsia="仿宋" w:cs="仿宋"/>
                <w:sz w:val="21"/>
                <w:szCs w:val="21"/>
                <w:lang w:eastAsia="zh-CN"/>
              </w:rPr>
              <w:t>1.评分中出现无证明资料或专家无法凭所提供资料</w:t>
            </w:r>
            <w:r>
              <w:rPr>
                <w:rFonts w:hint="eastAsia" w:ascii="仿宋" w:hAnsi="仿宋" w:eastAsia="仿宋" w:cs="仿宋"/>
                <w:sz w:val="21"/>
                <w:szCs w:val="21"/>
                <w:lang w:val="en-US" w:eastAsia="zh-CN"/>
              </w:rPr>
              <w:t>进行</w:t>
            </w:r>
            <w:r>
              <w:rPr>
                <w:rFonts w:hint="eastAsia" w:ascii="仿宋" w:hAnsi="仿宋" w:eastAsia="仿宋" w:cs="仿宋"/>
                <w:sz w:val="21"/>
                <w:szCs w:val="21"/>
                <w:lang w:eastAsia="zh-CN"/>
              </w:rPr>
              <w:t>判断，</w:t>
            </w:r>
            <w:r>
              <w:rPr>
                <w:rFonts w:hint="eastAsia" w:ascii="仿宋" w:hAnsi="仿宋" w:eastAsia="仿宋" w:cs="仿宋"/>
                <w:sz w:val="21"/>
                <w:szCs w:val="21"/>
                <w:lang w:val="en-US" w:eastAsia="zh-CN"/>
              </w:rPr>
              <w:t>一名企业讲师扣2.5分</w:t>
            </w:r>
            <w:r>
              <w:rPr>
                <w:rFonts w:hint="eastAsia" w:ascii="仿宋" w:hAnsi="仿宋" w:eastAsia="仿宋" w:cs="仿宋"/>
                <w:sz w:val="21"/>
                <w:szCs w:val="21"/>
                <w:lang w:eastAsia="zh-CN"/>
              </w:rPr>
              <w:t>。</w:t>
            </w:r>
          </w:p>
          <w:p>
            <w:pPr>
              <w:numPr>
                <w:ilvl w:val="0"/>
                <w:numId w:val="1"/>
              </w:num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企业讲师的专业及行业背景须与共建专业存在较高的相关度，若缺乏相关度，一名企业讲师扣2.5分。</w:t>
            </w:r>
          </w:p>
          <w:p>
            <w:pPr>
              <w:numPr>
                <w:ilvl w:val="0"/>
                <w:numId w:val="1"/>
              </w:num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比选方管理及讲师团队人员是否能满足共建专业需要。</w:t>
            </w:r>
          </w:p>
        </w:tc>
        <w:tc>
          <w:tcPr>
            <w:tcW w:w="753" w:type="pct"/>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对应1.2.项</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（0-</w:t>
            </w:r>
            <w:r>
              <w:rPr>
                <w:rFonts w:hint="eastAsia" w:ascii="仿宋" w:hAnsi="仿宋" w:eastAsia="仿宋" w:cs="仿宋"/>
                <w:sz w:val="21"/>
                <w:szCs w:val="21"/>
                <w:lang w:val="en-US" w:eastAsia="zh-CN"/>
              </w:rPr>
              <w:t>10分</w:t>
            </w:r>
            <w:r>
              <w:rPr>
                <w:rFonts w:hint="eastAsia" w:ascii="仿宋" w:hAnsi="仿宋" w:eastAsia="仿宋" w:cs="仿宋"/>
                <w:sz w:val="21"/>
                <w:szCs w:val="21"/>
                <w:lang w:eastAsia="zh-CN"/>
              </w:rPr>
              <w:t>）</w:t>
            </w:r>
          </w:p>
        </w:tc>
        <w:tc>
          <w:tcPr>
            <w:tcW w:w="462" w:type="pct"/>
            <w:noWrap w:val="0"/>
            <w:vAlign w:val="center"/>
          </w:tcPr>
          <w:p>
            <w:pPr>
              <w:spacing w:line="240" w:lineRule="auto"/>
              <w:ind w:firstLine="420" w:firstLineChars="200"/>
              <w:rPr>
                <w:rFonts w:hint="eastAsia" w:ascii="仿宋" w:hAnsi="仿宋" w:eastAsia="仿宋" w:cs="仿宋"/>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70" w:hRule="atLeast"/>
        </w:trPr>
        <w:tc>
          <w:tcPr>
            <w:tcW w:w="477" w:type="pct"/>
            <w:vMerge w:val="continue"/>
            <w:noWrap w:val="0"/>
            <w:vAlign w:val="center"/>
          </w:tcPr>
          <w:p>
            <w:pPr>
              <w:spacing w:line="240" w:lineRule="auto"/>
            </w:pPr>
          </w:p>
        </w:tc>
        <w:tc>
          <w:tcPr>
            <w:tcW w:w="890" w:type="pct"/>
            <w:vMerge w:val="continue"/>
            <w:noWrap w:val="0"/>
            <w:vAlign w:val="center"/>
          </w:tcPr>
          <w:p>
            <w:pPr>
              <w:spacing w:line="240" w:lineRule="auto"/>
            </w:pPr>
          </w:p>
        </w:tc>
        <w:tc>
          <w:tcPr>
            <w:tcW w:w="2415" w:type="pct"/>
            <w:vMerge w:val="continue"/>
            <w:noWrap w:val="0"/>
            <w:vAlign w:val="center"/>
          </w:tcPr>
          <w:p>
            <w:pPr>
              <w:spacing w:line="240" w:lineRule="auto"/>
            </w:pPr>
          </w:p>
        </w:tc>
        <w:tc>
          <w:tcPr>
            <w:tcW w:w="753" w:type="pct"/>
            <w:noWrap w:val="0"/>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对应3.项</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0-5分</w:t>
            </w:r>
            <w:r>
              <w:rPr>
                <w:rFonts w:hint="eastAsia" w:ascii="仿宋" w:hAnsi="仿宋" w:eastAsia="仿宋" w:cs="仿宋"/>
                <w:sz w:val="21"/>
                <w:szCs w:val="21"/>
                <w:lang w:eastAsia="zh-CN"/>
              </w:rPr>
              <w:t>）</w:t>
            </w:r>
          </w:p>
        </w:tc>
        <w:tc>
          <w:tcPr>
            <w:tcW w:w="462" w:type="pct"/>
            <w:noWrap w:val="0"/>
            <w:vAlign w:val="center"/>
          </w:tcPr>
          <w:p>
            <w:pPr>
              <w:spacing w:line="240" w:lineRule="auto"/>
              <w:rPr>
                <w:rFonts w:hint="eastAsia" w:ascii="仿宋" w:hAnsi="仿宋" w:eastAsia="仿宋" w:cs="仿宋"/>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477" w:type="pct"/>
            <w:vMerge w:val="restart"/>
            <w:noWrap w:val="0"/>
            <w:vAlign w:val="center"/>
          </w:tcPr>
          <w:p>
            <w:pPr>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15分</w:t>
            </w:r>
          </w:p>
        </w:tc>
        <w:tc>
          <w:tcPr>
            <w:tcW w:w="890" w:type="pct"/>
            <w:vMerge w:val="restart"/>
            <w:noWrap w:val="0"/>
            <w:vAlign w:val="center"/>
          </w:tcPr>
          <w:p>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比选方资质</w:t>
            </w:r>
          </w:p>
        </w:tc>
        <w:tc>
          <w:tcPr>
            <w:tcW w:w="2415" w:type="pct"/>
            <w:vMerge w:val="restart"/>
            <w:noWrap w:val="0"/>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eastAsia="zh-CN"/>
              </w:rPr>
              <w:t>【评分内容】</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具有与共建专业相关产业背景</w:t>
            </w:r>
            <w:r>
              <w:rPr>
                <w:rFonts w:hint="eastAsia" w:ascii="仿宋" w:hAnsi="仿宋" w:eastAsia="仿宋" w:cs="仿宋"/>
                <w:sz w:val="21"/>
                <w:szCs w:val="21"/>
                <w:lang w:eastAsia="zh-CN"/>
              </w:rPr>
              <w:t>、有相关专业共建的经验、</w:t>
            </w:r>
            <w:r>
              <w:rPr>
                <w:rFonts w:hint="eastAsia" w:ascii="仿宋" w:hAnsi="仿宋" w:eastAsia="仿宋" w:cs="仿宋"/>
                <w:sz w:val="21"/>
                <w:szCs w:val="21"/>
                <w:lang w:val="en-US" w:eastAsia="zh-CN"/>
              </w:rPr>
              <w:t>有独立常设机构。</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【评分依据】</w:t>
            </w:r>
            <w:r>
              <w:rPr>
                <w:rFonts w:hint="eastAsia" w:ascii="仿宋" w:hAnsi="仿宋" w:eastAsia="仿宋" w:cs="仿宋"/>
                <w:sz w:val="21"/>
                <w:szCs w:val="21"/>
                <w:lang w:eastAsia="zh-CN"/>
              </w:rPr>
              <w:br w:type="textWrapping"/>
            </w:r>
            <w:r>
              <w:rPr>
                <w:rFonts w:hint="eastAsia" w:ascii="仿宋" w:hAnsi="仿宋" w:eastAsia="仿宋" w:cs="仿宋"/>
                <w:sz w:val="21"/>
                <w:szCs w:val="21"/>
                <w:lang w:eastAsia="zh-CN"/>
              </w:rPr>
              <w:t>1.</w:t>
            </w:r>
            <w:r>
              <w:rPr>
                <w:rFonts w:hint="eastAsia" w:ascii="仿宋" w:hAnsi="仿宋" w:eastAsia="仿宋" w:cs="仿宋"/>
                <w:sz w:val="21"/>
                <w:szCs w:val="21"/>
                <w:lang w:val="en-US" w:eastAsia="zh-CN"/>
              </w:rPr>
              <w:t>具有与共建专业相关产业资源及充足的实习就业岗位。</w:t>
            </w:r>
          </w:p>
          <w:p>
            <w:pPr>
              <w:numPr>
                <w:ilvl w:val="0"/>
                <w:numId w:val="0"/>
              </w:num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2.具有类似比选项目的校企合作专业共建成功经验。</w:t>
            </w:r>
          </w:p>
          <w:p>
            <w:pPr>
              <w:numPr>
                <w:ilvl w:val="0"/>
                <w:numId w:val="0"/>
              </w:num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3.在学校所在地具有独立常设机构。</w:t>
            </w:r>
          </w:p>
          <w:p>
            <w:pPr>
              <w:numPr>
                <w:ilvl w:val="0"/>
                <w:numId w:val="0"/>
              </w:num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4.参加本次采购活动前三年内，未被教育行政主管部门采取通报、约谈等行政措施。</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评分中出现无证明资料或专家无法凭所提供资料判断是否得分的情况，一律作不得分处理。</w:t>
            </w:r>
          </w:p>
        </w:tc>
        <w:tc>
          <w:tcPr>
            <w:tcW w:w="753" w:type="pct"/>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对应1.项</w:t>
            </w:r>
          </w:p>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（0-4分）</w:t>
            </w:r>
          </w:p>
        </w:tc>
        <w:tc>
          <w:tcPr>
            <w:tcW w:w="462" w:type="pct"/>
            <w:noWrap w:val="0"/>
            <w:vAlign w:val="center"/>
          </w:tcPr>
          <w:p>
            <w:pPr>
              <w:spacing w:line="240" w:lineRule="auto"/>
              <w:ind w:firstLine="420" w:firstLineChars="200"/>
              <w:rPr>
                <w:rFonts w:hint="eastAsia" w:ascii="仿宋" w:hAnsi="仿宋" w:eastAsia="仿宋" w:cs="仿宋"/>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477" w:type="pct"/>
            <w:vMerge w:val="continue"/>
            <w:noWrap w:val="0"/>
            <w:vAlign w:val="center"/>
          </w:tcPr>
          <w:p>
            <w:pPr>
              <w:spacing w:line="240" w:lineRule="auto"/>
              <w:ind w:firstLine="420" w:firstLineChars="200"/>
            </w:pPr>
          </w:p>
        </w:tc>
        <w:tc>
          <w:tcPr>
            <w:tcW w:w="890" w:type="pct"/>
            <w:vMerge w:val="continue"/>
            <w:noWrap w:val="0"/>
            <w:vAlign w:val="center"/>
          </w:tcPr>
          <w:p>
            <w:pPr>
              <w:spacing w:line="240" w:lineRule="auto"/>
              <w:ind w:firstLine="420" w:firstLineChars="200"/>
            </w:pPr>
          </w:p>
        </w:tc>
        <w:tc>
          <w:tcPr>
            <w:tcW w:w="2415" w:type="pct"/>
            <w:vMerge w:val="continue"/>
            <w:noWrap w:val="0"/>
            <w:vAlign w:val="center"/>
          </w:tcPr>
          <w:p>
            <w:pPr>
              <w:spacing w:line="240" w:lineRule="auto"/>
              <w:ind w:firstLine="420" w:firstLineChars="200"/>
            </w:pPr>
          </w:p>
        </w:tc>
        <w:tc>
          <w:tcPr>
            <w:tcW w:w="753" w:type="pct"/>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对应2.项</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（0-4分）</w:t>
            </w:r>
          </w:p>
        </w:tc>
        <w:tc>
          <w:tcPr>
            <w:tcW w:w="462" w:type="pct"/>
            <w:noWrap w:val="0"/>
            <w:vAlign w:val="center"/>
          </w:tcPr>
          <w:p>
            <w:pPr>
              <w:spacing w:line="240" w:lineRule="auto"/>
              <w:ind w:firstLine="420" w:firstLineChars="200"/>
              <w:rPr>
                <w:rFonts w:hint="eastAsia" w:ascii="仿宋" w:hAnsi="仿宋" w:eastAsia="仿宋" w:cs="仿宋"/>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477" w:type="pct"/>
            <w:vMerge w:val="continue"/>
            <w:noWrap w:val="0"/>
            <w:vAlign w:val="center"/>
          </w:tcPr>
          <w:p>
            <w:pPr>
              <w:spacing w:line="240" w:lineRule="auto"/>
              <w:ind w:firstLine="420" w:firstLineChars="200"/>
              <w:rPr>
                <w:rFonts w:hint="eastAsia" w:ascii="仿宋" w:hAnsi="仿宋" w:eastAsia="仿宋" w:cs="仿宋"/>
                <w:sz w:val="21"/>
                <w:szCs w:val="21"/>
                <w:lang w:eastAsia="zh-CN"/>
              </w:rPr>
            </w:pPr>
          </w:p>
        </w:tc>
        <w:tc>
          <w:tcPr>
            <w:tcW w:w="890" w:type="pct"/>
            <w:vMerge w:val="continue"/>
            <w:noWrap w:val="0"/>
            <w:vAlign w:val="center"/>
          </w:tcPr>
          <w:p>
            <w:pPr>
              <w:spacing w:line="240" w:lineRule="auto"/>
              <w:ind w:firstLine="420" w:firstLineChars="200"/>
              <w:rPr>
                <w:rFonts w:hint="eastAsia" w:ascii="仿宋" w:hAnsi="仿宋" w:eastAsia="仿宋" w:cs="仿宋"/>
                <w:sz w:val="21"/>
                <w:szCs w:val="21"/>
                <w:lang w:eastAsia="zh-CN"/>
              </w:rPr>
            </w:pPr>
          </w:p>
        </w:tc>
        <w:tc>
          <w:tcPr>
            <w:tcW w:w="2415" w:type="pct"/>
            <w:vMerge w:val="continue"/>
            <w:noWrap w:val="0"/>
            <w:vAlign w:val="center"/>
          </w:tcPr>
          <w:p>
            <w:pPr>
              <w:spacing w:line="240" w:lineRule="auto"/>
              <w:ind w:firstLine="420" w:firstLineChars="200"/>
              <w:rPr>
                <w:rFonts w:hint="eastAsia" w:ascii="仿宋" w:hAnsi="仿宋" w:eastAsia="仿宋" w:cs="仿宋"/>
                <w:sz w:val="21"/>
                <w:szCs w:val="21"/>
                <w:lang w:eastAsia="zh-CN"/>
              </w:rPr>
            </w:pPr>
          </w:p>
        </w:tc>
        <w:tc>
          <w:tcPr>
            <w:tcW w:w="753" w:type="pct"/>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对应3.项</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（0-2分）</w:t>
            </w:r>
          </w:p>
        </w:tc>
        <w:tc>
          <w:tcPr>
            <w:tcW w:w="462" w:type="pct"/>
            <w:noWrap w:val="0"/>
            <w:vAlign w:val="center"/>
          </w:tcPr>
          <w:p>
            <w:pPr>
              <w:spacing w:line="240" w:lineRule="auto"/>
              <w:ind w:firstLine="420" w:firstLineChars="200"/>
              <w:rPr>
                <w:rFonts w:hint="eastAsia" w:ascii="仿宋" w:hAnsi="仿宋" w:eastAsia="仿宋" w:cs="仿宋"/>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477" w:type="pct"/>
            <w:vMerge w:val="continue"/>
            <w:noWrap w:val="0"/>
            <w:vAlign w:val="center"/>
          </w:tcPr>
          <w:p>
            <w:pPr>
              <w:spacing w:line="240" w:lineRule="auto"/>
              <w:ind w:firstLine="420" w:firstLineChars="200"/>
              <w:rPr>
                <w:rFonts w:hint="eastAsia" w:ascii="仿宋" w:hAnsi="仿宋" w:eastAsia="仿宋" w:cs="仿宋"/>
                <w:sz w:val="21"/>
                <w:szCs w:val="21"/>
                <w:lang w:eastAsia="zh-CN"/>
              </w:rPr>
            </w:pPr>
          </w:p>
        </w:tc>
        <w:tc>
          <w:tcPr>
            <w:tcW w:w="890" w:type="pct"/>
            <w:vMerge w:val="continue"/>
            <w:noWrap w:val="0"/>
            <w:vAlign w:val="center"/>
          </w:tcPr>
          <w:p>
            <w:pPr>
              <w:spacing w:line="240" w:lineRule="auto"/>
              <w:ind w:firstLine="420" w:firstLineChars="200"/>
              <w:rPr>
                <w:rFonts w:hint="eastAsia" w:ascii="仿宋" w:hAnsi="仿宋" w:eastAsia="仿宋" w:cs="仿宋"/>
                <w:sz w:val="21"/>
                <w:szCs w:val="21"/>
                <w:lang w:eastAsia="zh-CN"/>
              </w:rPr>
            </w:pPr>
          </w:p>
        </w:tc>
        <w:tc>
          <w:tcPr>
            <w:tcW w:w="2415" w:type="pct"/>
            <w:vMerge w:val="continue"/>
            <w:noWrap w:val="0"/>
            <w:vAlign w:val="center"/>
          </w:tcPr>
          <w:p>
            <w:pPr>
              <w:spacing w:line="240" w:lineRule="auto"/>
              <w:ind w:firstLine="420" w:firstLineChars="200"/>
              <w:rPr>
                <w:rFonts w:hint="eastAsia" w:ascii="仿宋" w:hAnsi="仿宋" w:eastAsia="仿宋" w:cs="仿宋"/>
                <w:sz w:val="21"/>
                <w:szCs w:val="21"/>
                <w:lang w:eastAsia="zh-CN"/>
              </w:rPr>
            </w:pPr>
          </w:p>
        </w:tc>
        <w:tc>
          <w:tcPr>
            <w:tcW w:w="753" w:type="pct"/>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对应4.项</w:t>
            </w:r>
          </w:p>
          <w:p>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（0-5分）</w:t>
            </w:r>
          </w:p>
        </w:tc>
        <w:tc>
          <w:tcPr>
            <w:tcW w:w="462" w:type="pct"/>
            <w:noWrap w:val="0"/>
            <w:vAlign w:val="center"/>
          </w:tcPr>
          <w:p>
            <w:pPr>
              <w:spacing w:line="240" w:lineRule="auto"/>
              <w:ind w:firstLine="420" w:firstLineChars="200"/>
              <w:rPr>
                <w:rFonts w:hint="eastAsia" w:ascii="仿宋" w:hAnsi="仿宋" w:eastAsia="仿宋" w:cs="仿宋"/>
                <w:sz w:val="21"/>
                <w:szCs w:val="21"/>
                <w:lang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83139"/>
    <w:multiLevelType w:val="singleLevel"/>
    <w:tmpl w:val="BE88313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TlhNTFhZmFjYTZkMjkzMzc5MjRkNzE5MDA5NGQifQ=="/>
  </w:docVars>
  <w:rsids>
    <w:rsidRoot w:val="00000000"/>
    <w:rsid w:val="32B7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2024-06-12T01:55:35Z</dcterms:created>
  <dc:creator>Administrator</dc:creator>
  <cp:lastModifiedBy></cp:lastModifiedBy>
  <dcterms:modified xsi:type="dcterms:W3CDTF">2024-06-12T01:56:28Z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17E65CF73FC74511AA2801C5CD71CAC6_12</vt:lpwstr>
  </property>
</Properties>
</file>