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华文中宋" w:eastAsia="方正小标宋简体" w:cs="宋体"/>
          <w:bCs/>
          <w:iCs/>
          <w:kern w:val="0"/>
          <w:sz w:val="36"/>
          <w:szCs w:val="36"/>
        </w:rPr>
      </w:pPr>
      <w:r>
        <w:rPr>
          <w:rFonts w:hint="eastAsia" w:ascii="方正小标宋简体" w:hAnsi="华文中宋" w:eastAsia="方正小标宋简体" w:cs="宋体"/>
          <w:bCs/>
          <w:iCs/>
          <w:kern w:val="0"/>
          <w:sz w:val="36"/>
          <w:szCs w:val="36"/>
        </w:rPr>
        <w:t>呈贡区校地合作调研微课题征集表(2022年度)</w:t>
      </w:r>
    </w:p>
    <w:p>
      <w:pPr>
        <w:jc w:val="left"/>
        <w:rPr>
          <w:rFonts w:ascii="方正黑体_GBK" w:hAnsi="方正黑体_GBK" w:eastAsia="方正黑体_GBK" w:cs="方正黑体_GBK"/>
          <w:bCs/>
          <w:iCs/>
          <w:kern w:val="0"/>
          <w:sz w:val="32"/>
          <w:szCs w:val="32"/>
        </w:rPr>
      </w:pPr>
    </w:p>
    <w:p>
      <w:pPr>
        <w:jc w:val="left"/>
        <w:rPr>
          <w:rFonts w:ascii="黑体" w:hAnsi="黑体" w:eastAsia="黑体" w:cs="黑体"/>
          <w:bCs/>
          <w:iCs/>
          <w:kern w:val="0"/>
          <w:sz w:val="24"/>
        </w:rPr>
      </w:pPr>
      <w:r>
        <w:rPr>
          <w:rFonts w:hint="eastAsia" w:ascii="黑体" w:hAnsi="黑体" w:eastAsia="黑体" w:cs="黑体"/>
          <w:bCs/>
          <w:iCs/>
          <w:kern w:val="0"/>
          <w:sz w:val="24"/>
        </w:rPr>
        <w:t>单位名称：昆明市呈贡区教育信息中心         日期：2022年</w:t>
      </w:r>
      <w:r>
        <w:rPr>
          <w:rFonts w:hint="eastAsia" w:ascii="黑体" w:hAnsi="黑体" w:eastAsia="黑体" w:cs="黑体"/>
          <w:bCs/>
          <w:iCs/>
          <w:kern w:val="0"/>
          <w:sz w:val="24"/>
          <w:lang w:val="en-US" w:eastAsia="zh-CN"/>
        </w:rPr>
        <w:t>5</w:t>
      </w:r>
      <w:r>
        <w:rPr>
          <w:rFonts w:hint="eastAsia" w:ascii="黑体" w:hAnsi="黑体" w:eastAsia="黑体" w:cs="黑体"/>
          <w:bCs/>
          <w:iCs/>
          <w:kern w:val="0"/>
          <w:sz w:val="24"/>
        </w:rPr>
        <w:t>月</w:t>
      </w:r>
      <w:r>
        <w:rPr>
          <w:rFonts w:hint="eastAsia" w:ascii="黑体" w:hAnsi="黑体" w:eastAsia="黑体" w:cs="黑体"/>
          <w:bCs/>
          <w:iCs/>
          <w:kern w:val="0"/>
          <w:sz w:val="24"/>
          <w:lang w:val="en-US" w:eastAsia="zh-CN"/>
        </w:rPr>
        <w:t>1</w:t>
      </w:r>
      <w:bookmarkStart w:id="0" w:name="_GoBack"/>
      <w:bookmarkEnd w:id="0"/>
      <w:r>
        <w:rPr>
          <w:rFonts w:hint="eastAsia" w:ascii="黑体" w:hAnsi="黑体" w:eastAsia="黑体" w:cs="黑体"/>
          <w:bCs/>
          <w:iCs/>
          <w:kern w:val="0"/>
          <w:sz w:val="24"/>
        </w:rPr>
        <w:t>7日</w:t>
      </w:r>
    </w:p>
    <w:tbl>
      <w:tblPr>
        <w:tblStyle w:val="3"/>
        <w:tblpPr w:leftFromText="180" w:rightFromText="180" w:vertAnchor="page" w:horzAnchor="page" w:tblpX="1800" w:tblpY="3629"/>
        <w:tblOverlap w:val="never"/>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0"/>
        <w:gridCol w:w="2130"/>
        <w:gridCol w:w="1619"/>
        <w:gridCol w:w="26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课题名称</w:t>
            </w:r>
          </w:p>
        </w:tc>
        <w:tc>
          <w:tcPr>
            <w:tcW w:w="6392" w:type="dxa"/>
            <w:gridSpan w:val="3"/>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县区教育研训一体化高效发展的有效策略探究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课题负责人</w:t>
            </w:r>
          </w:p>
        </w:tc>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郭琼波</w:t>
            </w:r>
          </w:p>
        </w:tc>
        <w:tc>
          <w:tcPr>
            <w:tcW w:w="1619"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联系方式</w:t>
            </w:r>
          </w:p>
        </w:tc>
        <w:tc>
          <w:tcPr>
            <w:tcW w:w="2643"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13888125949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课题联络人</w:t>
            </w:r>
          </w:p>
        </w:tc>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李永年</w:t>
            </w:r>
          </w:p>
        </w:tc>
        <w:tc>
          <w:tcPr>
            <w:tcW w:w="1619"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联系方式</w:t>
            </w:r>
          </w:p>
        </w:tc>
        <w:tc>
          <w:tcPr>
            <w:tcW w:w="2643" w:type="dxa"/>
            <w:vAlign w:val="center"/>
          </w:tcPr>
          <w:p>
            <w:pPr>
              <w:jc w:val="center"/>
              <w:rPr>
                <w:rFonts w:ascii="仿宋_GB2312" w:hAnsi="仿宋_GB2312" w:eastAsia="仿宋_GB2312" w:cs="仿宋_GB2312"/>
              </w:rPr>
            </w:pPr>
            <w:r>
              <w:rPr>
                <w:rFonts w:hint="eastAsia" w:ascii="仿宋_GB2312" w:hAnsi="仿宋_GB2312" w:eastAsia="仿宋_GB2312" w:cs="仿宋_GB2312"/>
                <w:sz w:val="28"/>
                <w:szCs w:val="28"/>
              </w:rPr>
              <w:t>67479132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时限要求</w:t>
            </w:r>
          </w:p>
        </w:tc>
        <w:tc>
          <w:tcPr>
            <w:tcW w:w="6392" w:type="dxa"/>
            <w:gridSpan w:val="3"/>
            <w:vAlign w:val="center"/>
          </w:tcPr>
          <w:p>
            <w:pPr>
              <w:jc w:val="center"/>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rPr>
              <w:t>2022年</w:t>
            </w:r>
            <w:r>
              <w:rPr>
                <w:rFonts w:hint="eastAsia" w:ascii="仿宋_GB2312" w:hAnsi="仿宋_GB2312" w:eastAsia="仿宋_GB2312" w:cs="仿宋_GB2312"/>
                <w:sz w:val="28"/>
                <w:szCs w:val="28"/>
                <w:lang w:val="en-US" w:eastAsia="zh-CN"/>
              </w:rPr>
              <w:t>10</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1</w:t>
            </w:r>
            <w:r>
              <w:rPr>
                <w:rFonts w:hint="eastAsia" w:ascii="仿宋_GB2312" w:hAnsi="仿宋_GB2312" w:eastAsia="仿宋_GB2312" w:cs="仿宋_GB2312"/>
                <w:sz w:val="28"/>
                <w:szCs w:val="28"/>
              </w:rPr>
              <w:t>0日</w:t>
            </w:r>
            <w:r>
              <w:rPr>
                <w:rFonts w:hint="eastAsia" w:ascii="仿宋_GB2312" w:hAnsi="仿宋_GB2312" w:eastAsia="仿宋_GB2312" w:cs="仿宋_GB2312"/>
                <w:sz w:val="28"/>
                <w:szCs w:val="28"/>
                <w:lang w:eastAsia="zh-CN"/>
              </w:rPr>
              <w:t>以前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调研依据（建议理由及课题背景资料简介）</w:t>
            </w:r>
          </w:p>
        </w:tc>
        <w:tc>
          <w:tcPr>
            <w:tcW w:w="6392" w:type="dxa"/>
            <w:gridSpan w:val="3"/>
            <w:vAlign w:val="center"/>
          </w:tcPr>
          <w:p>
            <w:pPr>
              <w:spacing w:line="320" w:lineRule="exact"/>
              <w:jc w:val="center"/>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研训一体化”是教研、科研和师训工作联系合作一体化发展。随着我国社会经济的发展，教育行业对教师的要求越来越高。“研训一体化”是帮助教师提高职业能力和专业素养最为有效的手段；是顺应国际教师教育的基本走势；是我国教师教育发展的必然趋势。在《教育部关于加强和改进新时代基础教育教研工作的意见》和《教育部关于加强中小学教师培训工作的意见》指导下，如何将教研、科研和师训工作有机融合高效发展是大部分县区级研训机构面临的问题，需要在研训实践过程中，探索</w:t>
            </w:r>
          </w:p>
          <w:p>
            <w:pPr>
              <w:spacing w:line="320" w:lineRule="exact"/>
              <w:rPr>
                <w:rFonts w:ascii="仿宋_GB2312" w:hAnsi="仿宋_GB2312" w:eastAsia="仿宋_GB2312" w:cs="仿宋_GB2312"/>
                <w:sz w:val="28"/>
                <w:szCs w:val="28"/>
              </w:rPr>
            </w:pPr>
            <w:r>
              <w:rPr>
                <w:rFonts w:hint="eastAsia" w:ascii="仿宋_GB2312" w:hAnsi="仿宋_GB2312" w:eastAsia="仿宋_GB2312" w:cs="仿宋_GB2312"/>
                <w:sz w:val="28"/>
                <w:szCs w:val="28"/>
              </w:rPr>
              <w:t>一条研训一体化高效发展的有效路径。保障我区教师研训工作有效发展。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 w:hRule="atLeast"/>
        </w:trPr>
        <w:tc>
          <w:tcPr>
            <w:tcW w:w="2130" w:type="dxa"/>
            <w:vAlign w:val="center"/>
          </w:tcPr>
          <w:p>
            <w:pPr>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调研内容</w:t>
            </w:r>
          </w:p>
        </w:tc>
        <w:tc>
          <w:tcPr>
            <w:tcW w:w="6392" w:type="dxa"/>
            <w:gridSpan w:val="3"/>
            <w:vAlign w:val="center"/>
          </w:tcPr>
          <w:p>
            <w:pPr>
              <w:spacing w:line="320" w:lineRule="exact"/>
              <w:ind w:firstLine="420" w:firstLineChars="150"/>
              <w:rPr>
                <w:sz w:val="28"/>
                <w:szCs w:val="28"/>
              </w:rPr>
            </w:pPr>
            <w:r>
              <w:rPr>
                <w:rFonts w:hint="eastAsia" w:ascii="仿宋_GB2312" w:hAnsi="仿宋_GB2312" w:eastAsia="仿宋_GB2312" w:cs="仿宋_GB2312"/>
                <w:sz w:val="28"/>
                <w:szCs w:val="28"/>
              </w:rPr>
              <w:t>目前我区研训一体化研训由区校联动以沉浸式驻校合作研训、教育提质主题研训、学校校本教研、教师专业技能提升系列研训等形式进行。在突显研训一体化高效发展上存在不足，需要探索更多的有效促进研训一体化高效发展的途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spacing w:line="360" w:lineRule="exact"/>
              <w:jc w:val="center"/>
              <w:rPr>
                <w:rFonts w:ascii="仿宋_GB2312" w:hAnsi="仿宋_GB2312" w:eastAsia="仿宋_GB2312" w:cs="仿宋_GB2312"/>
                <w:sz w:val="28"/>
                <w:szCs w:val="28"/>
              </w:rPr>
            </w:pPr>
            <w:r>
              <w:rPr>
                <w:rFonts w:hint="eastAsia" w:ascii="仿宋_GB2312" w:hAnsi="仿宋_GB2312" w:eastAsia="仿宋_GB2312" w:cs="仿宋_GB2312"/>
                <w:sz w:val="28"/>
                <w:szCs w:val="28"/>
              </w:rPr>
              <w:t>项目目标及预期成果</w:t>
            </w:r>
          </w:p>
        </w:tc>
        <w:tc>
          <w:tcPr>
            <w:tcW w:w="6392" w:type="dxa"/>
            <w:gridSpan w:val="3"/>
            <w:vAlign w:val="center"/>
          </w:tcPr>
          <w:p>
            <w:pPr>
              <w:spacing w:line="320" w:lineRule="exact"/>
              <w:ind w:firstLine="420" w:firstLineChars="150"/>
              <w:rPr>
                <w:rFonts w:ascii="仿宋_GB2312" w:hAnsi="仿宋_GB2312" w:eastAsia="仿宋_GB2312" w:cs="仿宋_GB2312"/>
                <w:sz w:val="28"/>
                <w:szCs w:val="28"/>
              </w:rPr>
            </w:pPr>
            <w:r>
              <w:rPr>
                <w:rFonts w:hint="eastAsia" w:ascii="仿宋_GB2312" w:hAnsi="仿宋_GB2312" w:eastAsia="仿宋_GB2312" w:cs="仿宋_GB2312"/>
                <w:sz w:val="28"/>
                <w:szCs w:val="28"/>
              </w:rPr>
              <w:t>通过研究清楚分析呈贡区研训一体化的融合度、实效性及存在的问题短板，探索探索更多的有效促进研训一体化高效发展的途径，促进我区研训一体化深度融合，高效发展，为我区教师专业技能全面提升助力。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2" w:hRule="atLeast"/>
        </w:trPr>
        <w:tc>
          <w:tcPr>
            <w:tcW w:w="2130" w:type="dxa"/>
            <w:vAlign w:val="center"/>
          </w:tcPr>
          <w:p>
            <w:pPr>
              <w:spacing w:line="360" w:lineRule="exact"/>
              <w:rPr>
                <w:rFonts w:ascii="仿宋_GB2312" w:hAnsi="仿宋_GB2312" w:eastAsia="仿宋_GB2312" w:cs="仿宋_GB2312"/>
                <w:sz w:val="28"/>
                <w:szCs w:val="28"/>
              </w:rPr>
            </w:pPr>
            <w:r>
              <w:rPr>
                <w:rFonts w:hint="eastAsia" w:ascii="仿宋_GB2312" w:hAnsi="仿宋_GB2312" w:eastAsia="仿宋_GB2312" w:cs="仿宋_GB2312"/>
                <w:spacing w:val="-20"/>
                <w:sz w:val="28"/>
                <w:szCs w:val="28"/>
              </w:rPr>
              <w:t>其他意见及建议</w:t>
            </w:r>
          </w:p>
        </w:tc>
        <w:tc>
          <w:tcPr>
            <w:tcW w:w="6392" w:type="dxa"/>
            <w:gridSpan w:val="3"/>
            <w:vAlign w:val="center"/>
          </w:tcPr>
          <w:p>
            <w:pPr>
              <w:jc w:val="center"/>
              <w:rPr>
                <w:rFonts w:ascii="仿宋_GB2312" w:hAnsi="仿宋_GB2312" w:eastAsia="仿宋_GB2312" w:cs="仿宋_GB2312"/>
              </w:rPr>
            </w:pPr>
          </w:p>
          <w:p>
            <w:pPr>
              <w:jc w:val="center"/>
              <w:rPr>
                <w:rFonts w:ascii="仿宋_GB2312" w:hAnsi="仿宋_GB2312" w:eastAsia="仿宋_GB2312" w:cs="仿宋_GB2312"/>
              </w:rPr>
            </w:pPr>
          </w:p>
          <w:p>
            <w:pPr>
              <w:rPr>
                <w:rFonts w:ascii="仿宋_GB2312" w:hAnsi="仿宋_GB2312" w:eastAsia="仿宋_GB2312" w:cs="仿宋_GB2312"/>
              </w:rPr>
            </w:pPr>
          </w:p>
          <w:p>
            <w:pPr>
              <w:jc w:val="center"/>
              <w:rPr>
                <w:rFonts w:ascii="仿宋_GB2312" w:hAnsi="仿宋_GB2312" w:eastAsia="仿宋_GB2312" w:cs="仿宋_GB2312"/>
              </w:rPr>
            </w:pPr>
          </w:p>
          <w:p>
            <w:pPr>
              <w:rPr>
                <w:rFonts w:ascii="仿宋_GB2312" w:hAnsi="仿宋_GB2312" w:eastAsia="仿宋_GB2312" w:cs="仿宋_GB2312"/>
              </w:rPr>
            </w:pPr>
          </w:p>
        </w:tc>
      </w:tr>
    </w:tbl>
    <w:p>
      <w:pPr>
        <w:jc w:val="left"/>
        <w:rPr>
          <w:rFonts w:ascii="方正小标宋简体" w:hAnsi="华文中宋" w:eastAsia="方正小标宋简体" w:cs="宋体"/>
          <w:bCs/>
          <w:i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黑体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1FEC1BE5"/>
    <w:rsid w:val="005C1E83"/>
    <w:rsid w:val="00A800F7"/>
    <w:rsid w:val="02D20FDC"/>
    <w:rsid w:val="12D37537"/>
    <w:rsid w:val="1E0C468D"/>
    <w:rsid w:val="1FEC1BE5"/>
    <w:rsid w:val="47912BEA"/>
    <w:rsid w:val="581D43B8"/>
    <w:rsid w:val="7BA37A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昆明市呈贡区党政机关单位</Company>
  <Pages>1</Pages>
  <Words>591</Words>
  <Characters>78</Characters>
  <Lines>1</Lines>
  <Paragraphs>1</Paragraphs>
  <TotalTime>13</TotalTime>
  <ScaleCrop>false</ScaleCrop>
  <LinksUpToDate>false</LinksUpToDate>
  <CharactersWithSpaces>668</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2020-04-01T06:18:00Z</dcterms:created>
  <dc:creator>lx</dc:creator>
  <cp:lastModifiedBy>Administrator</cp:lastModifiedBy>
  <dcterms:modified xsi:type="dcterms:W3CDTF">2022-05-31T03:19:20Z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ies>
</file>